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699" w:wrap="auto" w:vAnchor="margin" w:hAnchor="text" w:x="4242" w:y="5636"/>
        <w:widowControl w:val="0"/>
        <w:autoSpaceDE w:val="0"/>
        <w:autoSpaceDN w:val="0"/>
        <w:spacing w:before="0" w:after="0" w:line="883" w:lineRule="exact"/>
        <w:ind w:left="0" w:right="0"/>
        <w:jc w:val="left"/>
        <w:rPr>
          <w:rFonts w:ascii="MKKUOJ+·½ÕýÊæÌå" w:hAnsi="MKKUOJ+·½ÕýÊæÌå" w:cs="MKKUOJ+·½ÕýÊæÌå"/>
          <w:color w:val="000000"/>
          <w:spacing w:val="0"/>
          <w:sz w:val="84"/>
        </w:rPr>
      </w:pPr>
      <w:r>
        <w:rPr>
          <w:rFonts w:ascii="DDGOVK+·½ÕýÊæÌå"/>
          <w:color w:val="000000"/>
          <w:spacing w:val="0"/>
          <w:sz w:val="84"/>
        </w:rPr>
        <w:t>2018</w:t>
      </w:r>
      <w:r>
        <w:rPr>
          <w:rFonts w:ascii="MKKUOJ+·½ÕýÊæÌå" w:hAnsi="MKKUOJ+·½ÕýÊæÌå" w:cs="MKKUOJ+·½ÕýÊæÌå"/>
          <w:color w:val="000000"/>
          <w:spacing w:val="0"/>
          <w:sz w:val="84"/>
        </w:rPr>
        <w:t>年度</w:t>
      </w:r>
    </w:p>
    <w:p>
      <w:pPr>
        <w:framePr w:w="6228" w:wrap="auto" w:vAnchor="margin" w:hAnchor="text" w:x="3476" w:y="7280"/>
        <w:widowControl w:val="0"/>
        <w:autoSpaceDE w:val="0"/>
        <w:autoSpaceDN w:val="0"/>
        <w:spacing w:before="0" w:after="0" w:line="883" w:lineRule="exact"/>
        <w:ind w:left="0" w:right="0"/>
        <w:jc w:val="left"/>
        <w:rPr>
          <w:rFonts w:ascii="MKKUOJ+·½ÕýÊæÌå" w:hAnsi="MKKUOJ+·½ÕýÊæÌå" w:cs="MKKUOJ+·½ÕýÊæÌå"/>
          <w:color w:val="000000"/>
          <w:spacing w:val="0"/>
          <w:sz w:val="84"/>
        </w:rPr>
      </w:pPr>
      <w:r>
        <w:rPr>
          <w:rFonts w:ascii="MKKUOJ+·½ÕýÊæÌå" w:hAnsi="MKKUOJ+·½ÕýÊæÌå" w:cs="MKKUOJ+·½ÕýÊæÌå"/>
          <w:color w:val="000000"/>
          <w:spacing w:val="0"/>
          <w:sz w:val="84"/>
        </w:rPr>
        <w:t>厦门市思明区</w:t>
      </w:r>
    </w:p>
    <w:p>
      <w:pPr>
        <w:framePr w:w="7879" w:wrap="auto" w:vAnchor="margin" w:hAnchor="text" w:x="2650" w:y="8924"/>
        <w:widowControl w:val="0"/>
        <w:autoSpaceDE w:val="0"/>
        <w:autoSpaceDN w:val="0"/>
        <w:spacing w:before="0" w:after="0" w:line="883" w:lineRule="exact"/>
        <w:ind w:left="0" w:right="0"/>
        <w:jc w:val="left"/>
        <w:rPr>
          <w:rFonts w:ascii="MKKUOJ+·½ÕýÊæÌå" w:hAnsi="MKKUOJ+·½ÕýÊæÌå" w:cs="MKKUOJ+·½ÕýÊæÌå"/>
          <w:color w:val="000000"/>
          <w:spacing w:val="0"/>
          <w:sz w:val="84"/>
        </w:rPr>
      </w:pPr>
      <w:r>
        <w:rPr>
          <w:rFonts w:ascii="MKKUOJ+·½ÕýÊæÌå" w:hAnsi="MKKUOJ+·½ÕýÊæÌå" w:cs="MKKUOJ+·½ÕýÊæÌå"/>
          <w:color w:val="000000"/>
          <w:spacing w:val="0"/>
          <w:sz w:val="84"/>
        </w:rPr>
        <w:t>人民法院部门决算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740" w:wrap="auto" w:vAnchor="margin" w:hAnchor="text" w:x="5420" w:y="2295"/>
        <w:widowControl w:val="0"/>
        <w:autoSpaceDE w:val="0"/>
        <w:autoSpaceDN w:val="0"/>
        <w:spacing w:before="0" w:after="0" w:line="439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44"/>
        </w:rPr>
      </w:pPr>
      <w:r>
        <w:rPr>
          <w:rFonts w:ascii="CFSCQM+ËÎÌå" w:hAnsi="CFSCQM+ËÎÌå" w:cs="CFSCQM+ËÎÌå"/>
          <w:color w:val="000000"/>
          <w:spacing w:val="0"/>
          <w:sz w:val="44"/>
        </w:rPr>
        <w:t>目录</w:t>
      </w:r>
    </w:p>
    <w:p>
      <w:pPr>
        <w:framePr w:w="5939" w:wrap="auto" w:vAnchor="margin" w:hAnchor="text" w:x="1532" w:y="3209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第一部分部门概况   </w:t>
      </w:r>
      <w:r>
        <w:rPr>
          <w:rFonts w:ascii="Times New Roman"/>
          <w:color w:val="000000"/>
          <w:spacing w:val="0"/>
          <w:sz w:val="32"/>
        </w:rPr>
        <w:t xml:space="preserve">..............................3 </w:t>
      </w:r>
    </w:p>
    <w:p>
      <w:pPr>
        <w:framePr w:w="6168" w:wrap="auto" w:vAnchor="margin" w:hAnchor="text" w:x="1532" w:y="3838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一、部门主要职责  </w:t>
      </w:r>
      <w:r>
        <w:rPr>
          <w:rFonts w:ascii="Times New Roman"/>
          <w:color w:val="000000"/>
          <w:spacing w:val="0"/>
          <w:sz w:val="32"/>
        </w:rPr>
        <w:t xml:space="preserve">...................................3 </w:t>
      </w:r>
    </w:p>
    <w:p>
      <w:pPr>
        <w:framePr w:w="6822" w:wrap="auto" w:vAnchor="margin" w:hAnchor="text" w:x="1532" w:y="4469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二、部门决算单位基本情况  </w:t>
      </w:r>
      <w:r>
        <w:rPr>
          <w:rFonts w:ascii="Times New Roman"/>
          <w:color w:val="000000"/>
          <w:spacing w:val="0"/>
          <w:sz w:val="32"/>
        </w:rPr>
        <w:t xml:space="preserve">..........................3 </w:t>
      </w:r>
    </w:p>
    <w:p>
      <w:pPr>
        <w:framePr w:w="6822" w:wrap="auto" w:vAnchor="margin" w:hAnchor="text" w:x="1532" w:y="4469"/>
        <w:widowControl w:val="0"/>
        <w:autoSpaceDE w:val="0"/>
        <w:autoSpaceDN w:val="0"/>
        <w:spacing w:before="0" w:after="0" w:line="629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三、部门主要工作总结</w:t>
      </w:r>
      <w:r>
        <w:rPr>
          <w:rFonts w:ascii="Times New Roman"/>
          <w:color w:val="000000"/>
          <w:spacing w:val="0"/>
          <w:sz w:val="32"/>
        </w:rPr>
        <w:t xml:space="preserve">...............................4 </w:t>
      </w:r>
    </w:p>
    <w:p>
      <w:pPr>
        <w:framePr w:w="7200" w:wrap="auto" w:vAnchor="margin" w:hAnchor="text" w:x="1532" w:y="5729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第二部分  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年度部门决算表  </w:t>
      </w:r>
      <w:r>
        <w:rPr>
          <w:rFonts w:ascii="Times New Roman"/>
          <w:color w:val="000000"/>
          <w:spacing w:val="0"/>
          <w:sz w:val="32"/>
        </w:rPr>
        <w:t xml:space="preserve">.......................5 </w:t>
      </w:r>
    </w:p>
    <w:p>
      <w:pPr>
        <w:framePr w:w="7200" w:wrap="auto" w:vAnchor="margin" w:hAnchor="text" w:x="1532" w:y="5729"/>
        <w:widowControl w:val="0"/>
        <w:autoSpaceDE w:val="0"/>
        <w:autoSpaceDN w:val="0"/>
        <w:spacing w:before="0" w:after="0" w:line="631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一、收入支出决算总表  </w:t>
      </w:r>
      <w:r>
        <w:rPr>
          <w:rFonts w:ascii="Times New Roman"/>
          <w:color w:val="000000"/>
          <w:spacing w:val="0"/>
          <w:sz w:val="32"/>
        </w:rPr>
        <w:t xml:space="preserve">...............................5 </w:t>
      </w:r>
    </w:p>
    <w:p>
      <w:pPr>
        <w:framePr w:w="7200" w:wrap="auto" w:vAnchor="margin" w:hAnchor="text" w:x="1532" w:y="5729"/>
        <w:widowControl w:val="0"/>
        <w:autoSpaceDE w:val="0"/>
        <w:autoSpaceDN w:val="0"/>
        <w:spacing w:before="0" w:after="0" w:line="629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二、收入决算表  </w:t>
      </w:r>
      <w:r>
        <w:rPr>
          <w:rFonts w:ascii="Times New Roman"/>
          <w:color w:val="000000"/>
          <w:spacing w:val="0"/>
          <w:sz w:val="32"/>
        </w:rPr>
        <w:t xml:space="preserve">............................ .......6 </w:t>
      </w:r>
    </w:p>
    <w:p>
      <w:pPr>
        <w:framePr w:w="5817" w:wrap="auto" w:vAnchor="margin" w:hAnchor="text" w:x="1532" w:y="7621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三、支出决算表  </w:t>
      </w:r>
      <w:r>
        <w:rPr>
          <w:rFonts w:ascii="Times New Roman"/>
          <w:color w:val="000000"/>
          <w:spacing w:val="0"/>
          <w:sz w:val="32"/>
        </w:rPr>
        <w:t xml:space="preserve">...................................6 </w:t>
      </w:r>
    </w:p>
    <w:p>
      <w:pPr>
        <w:framePr w:w="8378" w:wrap="auto" w:vAnchor="margin" w:hAnchor="text" w:x="1532" w:y="8250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四、财政拨款收入支出决算总表  </w:t>
      </w:r>
      <w:r>
        <w:rPr>
          <w:rFonts w:ascii="Times New Roman"/>
          <w:color w:val="000000"/>
          <w:spacing w:val="0"/>
          <w:sz w:val="32"/>
        </w:rPr>
        <w:t xml:space="preserve">......................7 </w:t>
      </w:r>
    </w:p>
    <w:p>
      <w:pPr>
        <w:framePr w:w="8378" w:wrap="auto" w:vAnchor="margin" w:hAnchor="text" w:x="1532" w:y="8250"/>
        <w:widowControl w:val="0"/>
        <w:autoSpaceDE w:val="0"/>
        <w:autoSpaceDN w:val="0"/>
        <w:spacing w:before="0" w:after="0" w:line="631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五、一般公共预算财政拨款支出决算表  </w:t>
      </w:r>
      <w:r>
        <w:rPr>
          <w:rFonts w:ascii="Times New Roman"/>
          <w:color w:val="000000"/>
          <w:spacing w:val="0"/>
          <w:sz w:val="32"/>
        </w:rPr>
        <w:t xml:space="preserve">.................7 </w:t>
      </w:r>
    </w:p>
    <w:p>
      <w:pPr>
        <w:framePr w:w="8378" w:wrap="auto" w:vAnchor="margin" w:hAnchor="text" w:x="1532" w:y="8250"/>
        <w:widowControl w:val="0"/>
        <w:autoSpaceDE w:val="0"/>
        <w:autoSpaceDN w:val="0"/>
        <w:spacing w:before="0" w:after="0" w:line="631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六、一般公共预算财政拨款支出决算明细表</w:t>
      </w:r>
      <w:r>
        <w:rPr>
          <w:rFonts w:ascii="Times New Roman"/>
          <w:color w:val="000000"/>
          <w:spacing w:val="0"/>
          <w:sz w:val="32"/>
        </w:rPr>
        <w:t xml:space="preserve">.................8 </w:t>
      </w:r>
    </w:p>
    <w:p>
      <w:pPr>
        <w:framePr w:w="8378" w:wrap="auto" w:vAnchor="margin" w:hAnchor="text" w:x="1532" w:y="8250"/>
        <w:widowControl w:val="0"/>
        <w:autoSpaceDE w:val="0"/>
        <w:autoSpaceDN w:val="0"/>
        <w:spacing w:before="0" w:after="0" w:line="629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七、一般公共预算财政拨款基本支出决算表  </w:t>
      </w:r>
      <w:r>
        <w:rPr>
          <w:rFonts w:ascii="Times New Roman"/>
          <w:color w:val="000000"/>
          <w:spacing w:val="0"/>
          <w:sz w:val="32"/>
        </w:rPr>
        <w:t xml:space="preserve">.............9 </w:t>
      </w:r>
    </w:p>
    <w:p>
      <w:pPr>
        <w:framePr w:w="8378" w:wrap="auto" w:vAnchor="margin" w:hAnchor="text" w:x="1532" w:y="8250"/>
        <w:widowControl w:val="0"/>
        <w:autoSpaceDE w:val="0"/>
        <w:autoSpaceDN w:val="0"/>
        <w:spacing w:before="0" w:after="0" w:line="631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八、政府性基金预算财政拨款收入支出决算表</w:t>
      </w:r>
      <w:r>
        <w:rPr>
          <w:rFonts w:ascii="Times New Roman"/>
          <w:color w:val="000000"/>
          <w:spacing w:val="0"/>
          <w:sz w:val="32"/>
        </w:rPr>
        <w:t xml:space="preserve">...........11 </w:t>
      </w:r>
    </w:p>
    <w:p>
      <w:pPr>
        <w:framePr w:w="8378" w:wrap="auto" w:vAnchor="margin" w:hAnchor="text" w:x="1532" w:y="8250"/>
        <w:widowControl w:val="0"/>
        <w:autoSpaceDE w:val="0"/>
        <w:autoSpaceDN w:val="0"/>
        <w:spacing w:before="0" w:after="0" w:line="629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九、部门决算相关信息统计表</w:t>
      </w:r>
      <w:r>
        <w:rPr>
          <w:rFonts w:ascii="Times New Roman"/>
          <w:color w:val="000000"/>
          <w:spacing w:val="0"/>
          <w:sz w:val="32"/>
        </w:rPr>
        <w:t xml:space="preserve">...........................11 </w:t>
      </w:r>
    </w:p>
    <w:p>
      <w:pPr>
        <w:framePr w:w="8378" w:wrap="auto" w:vAnchor="margin" w:hAnchor="text" w:x="1532" w:y="8250"/>
        <w:widowControl w:val="0"/>
        <w:autoSpaceDE w:val="0"/>
        <w:autoSpaceDN w:val="0"/>
        <w:spacing w:before="0" w:after="0" w:line="631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十、政府采购情况表</w:t>
      </w:r>
      <w:r>
        <w:rPr>
          <w:rFonts w:ascii="Times New Roman"/>
          <w:color w:val="000000"/>
          <w:spacing w:val="0"/>
          <w:sz w:val="32"/>
        </w:rPr>
        <w:t xml:space="preserve">..................................11 </w:t>
      </w:r>
    </w:p>
    <w:p>
      <w:pPr>
        <w:framePr w:w="8474" w:wrap="auto" w:vAnchor="margin" w:hAnchor="text" w:x="1532" w:y="12662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第三部分  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年度部门决算情况说明  </w:t>
      </w:r>
      <w:r>
        <w:rPr>
          <w:rFonts w:ascii="Times New Roman"/>
          <w:color w:val="000000"/>
          <w:spacing w:val="0"/>
          <w:sz w:val="32"/>
        </w:rPr>
        <w:t xml:space="preserve">.................12 </w:t>
      </w:r>
    </w:p>
    <w:p>
      <w:pPr>
        <w:framePr w:w="8474" w:wrap="auto" w:vAnchor="margin" w:hAnchor="text" w:x="1532" w:y="12662"/>
        <w:widowControl w:val="0"/>
        <w:autoSpaceDE w:val="0"/>
        <w:autoSpaceDN w:val="0"/>
        <w:spacing w:before="0" w:after="0" w:line="631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一、收入支出决算总体情况说明  </w:t>
      </w:r>
      <w:r>
        <w:rPr>
          <w:rFonts w:ascii="Times New Roman"/>
          <w:color w:val="000000"/>
          <w:spacing w:val="0"/>
          <w:sz w:val="32"/>
        </w:rPr>
        <w:t xml:space="preserve">.......................12 </w:t>
      </w:r>
    </w:p>
    <w:p>
      <w:pPr>
        <w:framePr w:w="8474" w:wrap="auto" w:vAnchor="margin" w:hAnchor="text" w:x="1532" w:y="12662"/>
        <w:widowControl w:val="0"/>
        <w:autoSpaceDE w:val="0"/>
        <w:autoSpaceDN w:val="0"/>
        <w:spacing w:before="0" w:after="0" w:line="631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二、一般公共预算财政拨款支出决算情况说明</w:t>
      </w:r>
      <w:r>
        <w:rPr>
          <w:rFonts w:ascii="Times New Roman"/>
          <w:color w:val="000000"/>
          <w:spacing w:val="0"/>
          <w:sz w:val="32"/>
        </w:rPr>
        <w:t xml:space="preserve">............12 </w:t>
      </w:r>
    </w:p>
    <w:p>
      <w:pPr>
        <w:framePr w:w="7630" w:wrap="auto" w:vAnchor="margin" w:hAnchor="text" w:x="1532" w:y="14553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三、政府性基金支出决算情况说明  </w:t>
      </w:r>
      <w:r>
        <w:rPr>
          <w:rFonts w:ascii="Times New Roman"/>
          <w:color w:val="000000"/>
          <w:spacing w:val="0"/>
          <w:sz w:val="32"/>
        </w:rPr>
        <w:t xml:space="preserve">.....................13 </w:t>
      </w:r>
    </w:p>
    <w:p>
      <w:pPr>
        <w:framePr w:w="421" w:wrap="auto" w:vAnchor="margin" w:hAnchor="text" w:x="590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1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9987" w:wrap="auto" w:vAnchor="margin" w:hAnchor="text" w:x="1532" w:y="2112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四、一般公共预算财政拨款基本支出决算情况说明</w:t>
      </w:r>
      <w:r>
        <w:rPr>
          <w:rFonts w:ascii="Times New Roman"/>
          <w:color w:val="000000"/>
          <w:spacing w:val="0"/>
          <w:sz w:val="32"/>
        </w:rPr>
        <w:t xml:space="preserve">........13 </w:t>
      </w:r>
    </w:p>
    <w:p>
      <w:pPr>
        <w:framePr w:w="9987" w:wrap="auto" w:vAnchor="margin" w:hAnchor="text" w:x="1532" w:y="2112"/>
        <w:widowControl w:val="0"/>
        <w:autoSpaceDE w:val="0"/>
        <w:autoSpaceDN w:val="0"/>
        <w:spacing w:before="0" w:after="0" w:line="631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五、一般公共预算财政拨款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三公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经费支出决算情况说明</w:t>
      </w:r>
      <w:r>
        <w:rPr>
          <w:rFonts w:ascii="Times New Roman"/>
          <w:color w:val="000000"/>
          <w:spacing w:val="0"/>
          <w:sz w:val="32"/>
        </w:rPr>
        <w:t xml:space="preserve">.........14 </w:t>
      </w:r>
    </w:p>
    <w:p>
      <w:pPr>
        <w:framePr w:w="9987" w:wrap="auto" w:vAnchor="margin" w:hAnchor="text" w:x="1532" w:y="2112"/>
        <w:widowControl w:val="0"/>
        <w:autoSpaceDE w:val="0"/>
        <w:autoSpaceDN w:val="0"/>
        <w:spacing w:before="0" w:after="0" w:line="629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六、预算绩效情况说明</w:t>
      </w:r>
      <w:r>
        <w:rPr>
          <w:rFonts w:ascii="Times New Roman"/>
          <w:color w:val="000000"/>
          <w:spacing w:val="0"/>
          <w:sz w:val="32"/>
        </w:rPr>
        <w:t xml:space="preserve">.......................15 </w:t>
      </w:r>
    </w:p>
    <w:p>
      <w:pPr>
        <w:framePr w:w="7001" w:wrap="auto" w:vAnchor="margin" w:hAnchor="text" w:x="1532" w:y="4003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七、其他重要事项情况说明</w:t>
      </w:r>
      <w:r>
        <w:rPr>
          <w:rFonts w:ascii="Times New Roman"/>
          <w:color w:val="000000"/>
          <w:spacing w:val="0"/>
          <w:sz w:val="32"/>
        </w:rPr>
        <w:t xml:space="preserve">............................15 </w:t>
      </w:r>
    </w:p>
    <w:p>
      <w:pPr>
        <w:framePr w:w="7001" w:wrap="auto" w:vAnchor="margin" w:hAnchor="text" w:x="1532" w:y="4003"/>
        <w:widowControl w:val="0"/>
        <w:autoSpaceDE w:val="0"/>
        <w:autoSpaceDN w:val="0"/>
        <w:spacing w:before="0" w:after="0" w:line="629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第四部分名词解释   </w:t>
      </w:r>
      <w:r>
        <w:rPr>
          <w:rFonts w:ascii="Times New Roman"/>
          <w:color w:val="000000"/>
          <w:spacing w:val="0"/>
          <w:sz w:val="32"/>
        </w:rPr>
        <w:t xml:space="preserve">...........................16 </w:t>
      </w:r>
    </w:p>
    <w:p>
      <w:pPr>
        <w:framePr w:w="421" w:wrap="auto" w:vAnchor="margin" w:hAnchor="text" w:x="590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2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3487" w:wrap="auto" w:vAnchor="margin" w:hAnchor="text" w:x="4489" w:y="2101"/>
        <w:widowControl w:val="0"/>
        <w:autoSpaceDE w:val="0"/>
        <w:autoSpaceDN w:val="0"/>
        <w:spacing w:before="0" w:after="0" w:line="360" w:lineRule="exact"/>
        <w:ind w:left="0" w:right="0"/>
        <w:jc w:val="left"/>
        <w:rPr>
          <w:rFonts w:ascii="SRJRIE+ºÚÌå" w:hAnsi="SRJRIE+ºÚÌå" w:cs="SRJRIE+ºÚÌå"/>
          <w:color w:val="000000"/>
          <w:spacing w:val="0"/>
          <w:sz w:val="36"/>
        </w:rPr>
      </w:pPr>
      <w:r>
        <w:rPr>
          <w:rFonts w:ascii="SRJRIE+ºÚÌå" w:hAnsi="SRJRIE+ºÚÌå" w:cs="SRJRIE+ºÚÌå"/>
          <w:color w:val="000000"/>
          <w:spacing w:val="0"/>
          <w:sz w:val="36"/>
        </w:rPr>
        <w:t>第一部分部门概况</w:t>
      </w:r>
    </w:p>
    <w:p>
      <w:pPr>
        <w:framePr w:w="2933" w:wrap="auto" w:vAnchor="margin" w:hAnchor="text" w:x="2129" w:y="3404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SRJRIE+ºÚÌå" w:hAnsi="SRJRIE+ºÚÌå" w:cs="SRJRIE+ºÚÌå"/>
          <w:color w:val="000000"/>
          <w:spacing w:val="0"/>
          <w:sz w:val="32"/>
        </w:rPr>
      </w:pPr>
      <w:r>
        <w:rPr>
          <w:rFonts w:ascii="SRJRIE+ºÚÌå" w:hAnsi="SRJRIE+ºÚÌå" w:cs="SRJRIE+ºÚÌå"/>
          <w:color w:val="000000"/>
          <w:spacing w:val="0"/>
          <w:sz w:val="32"/>
        </w:rPr>
        <w:t>一、部门主要职责</w:t>
      </w:r>
    </w:p>
    <w:p>
      <w:pPr>
        <w:framePr w:w="10184" w:wrap="auto" w:vAnchor="margin" w:hAnchor="text" w:x="1532" w:y="3922"/>
        <w:widowControl w:val="0"/>
        <w:autoSpaceDE w:val="0"/>
        <w:autoSpaceDN w:val="0"/>
        <w:spacing w:before="0" w:after="0" w:line="300" w:lineRule="exact"/>
        <w:ind w:left="559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（一）依法审判法律规定由思明区人民法院审理的刑事、民商事、</w:t>
      </w:r>
    </w:p>
    <w:p>
      <w:pPr>
        <w:framePr w:w="10184" w:wrap="auto" w:vAnchor="margin" w:hAnchor="text" w:x="1532" w:y="3922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行政案件、再审的案件、抗诉案件。</w:t>
      </w:r>
    </w:p>
    <w:p>
      <w:pPr>
        <w:framePr w:w="10184" w:wrap="auto" w:vAnchor="margin" w:hAnchor="text" w:x="1532" w:y="5017"/>
        <w:widowControl w:val="0"/>
        <w:autoSpaceDE w:val="0"/>
        <w:autoSpaceDN w:val="0"/>
        <w:spacing w:before="0" w:after="0" w:line="300" w:lineRule="exact"/>
        <w:ind w:left="559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（二）依法行使司法执行权和司法决定权。</w:t>
      </w:r>
    </w:p>
    <w:p>
      <w:pPr>
        <w:framePr w:w="10184" w:wrap="auto" w:vAnchor="margin" w:hAnchor="text" w:x="1532" w:y="5017"/>
        <w:widowControl w:val="0"/>
        <w:autoSpaceDE w:val="0"/>
        <w:autoSpaceDN w:val="0"/>
        <w:spacing w:before="0" w:after="0" w:line="550" w:lineRule="exact"/>
        <w:ind w:left="559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（三）调查研究审判工作中的法律政策及疑难问题，总结审判工作</w:t>
      </w:r>
    </w:p>
    <w:p>
      <w:pPr>
        <w:framePr w:w="10184" w:wrap="auto" w:vAnchor="margin" w:hAnchor="text" w:x="1532" w:y="5017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经验。</w:t>
      </w:r>
    </w:p>
    <w:p>
      <w:pPr>
        <w:framePr w:w="7557" w:wrap="auto" w:vAnchor="margin" w:hAnchor="text" w:x="2091" w:y="6661"/>
        <w:widowControl w:val="0"/>
        <w:autoSpaceDE w:val="0"/>
        <w:autoSpaceDN w:val="0"/>
        <w:spacing w:before="0" w:after="0" w:line="30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（四）针对案件审理中发现的问题提出司法建议。</w:t>
      </w:r>
    </w:p>
    <w:p>
      <w:pPr>
        <w:framePr w:w="7557" w:wrap="auto" w:vAnchor="margin" w:hAnchor="text" w:x="2091" w:y="6661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JRGQAN+·ÂËÎ_GB2312"/>
          <w:color w:val="000000"/>
          <w:spacing w:val="0"/>
          <w:sz w:val="30"/>
        </w:rPr>
        <w:t>(</w:t>
      </w:r>
      <w:r>
        <w:rPr>
          <w:rFonts w:ascii="OGMDEA+·ÂËÎ_GB2312" w:hAnsi="OGMDEA+·ÂËÎ_GB2312" w:cs="OGMDEA+·ÂËÎ_GB2312"/>
          <w:color w:val="000000"/>
          <w:spacing w:val="0"/>
          <w:sz w:val="30"/>
        </w:rPr>
        <w:t>五）对本院法官和其他工作人员组织专业培训。</w:t>
      </w:r>
    </w:p>
    <w:p>
      <w:pPr>
        <w:framePr w:w="7557" w:wrap="auto" w:vAnchor="margin" w:hAnchor="text" w:x="2091" w:y="6661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（六）按照干部管理权限管理法官和其他工作人员。</w:t>
      </w:r>
    </w:p>
    <w:p>
      <w:pPr>
        <w:framePr w:w="7557" w:wrap="auto" w:vAnchor="margin" w:hAnchor="text" w:x="2091" w:y="6661"/>
        <w:widowControl w:val="0"/>
        <w:autoSpaceDE w:val="0"/>
        <w:autoSpaceDN w:val="0"/>
        <w:spacing w:before="0" w:after="0" w:line="548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（七）协助区党委考察干部人选。</w:t>
      </w:r>
    </w:p>
    <w:p>
      <w:pPr>
        <w:framePr w:w="8539" w:wrap="auto" w:vAnchor="margin" w:hAnchor="text" w:x="2091" w:y="8855"/>
        <w:widowControl w:val="0"/>
        <w:autoSpaceDE w:val="0"/>
        <w:autoSpaceDN w:val="0"/>
        <w:spacing w:before="0" w:after="0" w:line="30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（八）在审判中宣传法制，教育公民自觉遵守宪法和法律。</w:t>
      </w:r>
    </w:p>
    <w:p>
      <w:pPr>
        <w:framePr w:w="8539" w:wrap="auto" w:vAnchor="margin" w:hAnchor="text" w:x="2091" w:y="885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（九）管理本院的司法行政事务。</w:t>
      </w:r>
    </w:p>
    <w:p>
      <w:pPr>
        <w:framePr w:w="7230" w:wrap="auto" w:vAnchor="margin" w:hAnchor="text" w:x="2091" w:y="10048"/>
        <w:widowControl w:val="0"/>
        <w:autoSpaceDE w:val="0"/>
        <w:autoSpaceDN w:val="0"/>
        <w:spacing w:before="0" w:after="0" w:line="30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0"/>
        </w:rPr>
      </w:pPr>
      <w:r>
        <w:rPr>
          <w:rFonts w:ascii="OGMDEA+·ÂËÎ_GB2312" w:hAnsi="OGMDEA+·ÂËÎ_GB2312" w:cs="OGMDEA+·ÂËÎ_GB2312"/>
          <w:color w:val="000000"/>
          <w:spacing w:val="0"/>
          <w:sz w:val="30"/>
        </w:rPr>
        <w:t>（十）承办其他应由思明区人民法院负责的工作。</w:t>
      </w:r>
    </w:p>
    <w:p>
      <w:pPr>
        <w:framePr w:w="7230" w:wrap="auto" w:vAnchor="margin" w:hAnchor="text" w:x="2091" w:y="10048"/>
        <w:widowControl w:val="0"/>
        <w:autoSpaceDE w:val="0"/>
        <w:autoSpaceDN w:val="0"/>
        <w:spacing w:before="0" w:after="0" w:line="600" w:lineRule="exact"/>
        <w:ind w:left="50" w:right="0"/>
        <w:jc w:val="left"/>
        <w:rPr>
          <w:rFonts w:ascii="SRJRIE+ºÚÌå" w:hAnsi="SRJRIE+ºÚÌå" w:cs="SRJRIE+ºÚÌå"/>
          <w:color w:val="000000"/>
          <w:spacing w:val="0"/>
          <w:sz w:val="32"/>
        </w:rPr>
      </w:pPr>
      <w:r>
        <w:rPr>
          <w:rFonts w:ascii="SRJRIE+ºÚÌå" w:hAnsi="SRJRIE+ºÚÌå" w:cs="SRJRIE+ºÚÌå"/>
          <w:color w:val="000000"/>
          <w:spacing w:val="0"/>
          <w:sz w:val="32"/>
        </w:rPr>
        <w:t>二、部门决算单位基本情况</w:t>
      </w:r>
    </w:p>
    <w:p>
      <w:pPr>
        <w:framePr w:w="10365" w:wrap="auto" w:vAnchor="margin" w:hAnchor="text" w:x="1532" w:y="11232"/>
        <w:widowControl w:val="0"/>
        <w:autoSpaceDE w:val="0"/>
        <w:autoSpaceDN w:val="0"/>
        <w:spacing w:before="0" w:after="0" w:line="319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从决算单位构成看，思明区人民法院包括</w:t>
      </w:r>
      <w:r>
        <w:rPr>
          <w:rFonts w:ascii="JRGQAN+·ÂËÎ_GB2312"/>
          <w:color w:val="000000"/>
          <w:spacing w:val="0"/>
          <w:sz w:val="32"/>
        </w:rPr>
        <w:t>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个机关行政处（科）</w:t>
      </w:r>
    </w:p>
    <w:p>
      <w:pPr>
        <w:framePr w:w="10365" w:wrap="auto" w:vAnchor="margin" w:hAnchor="text" w:x="1532" w:y="11232"/>
        <w:widowControl w:val="0"/>
        <w:autoSpaceDE w:val="0"/>
        <w:autoSpaceDN w:val="0"/>
        <w:spacing w:before="0" w:after="0" w:line="600" w:lineRule="exact"/>
        <w:ind w:left="0" w:right="0"/>
        <w:jc w:val="left"/>
        <w:rPr>
          <w:rFonts w:ascii="JRGQAN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室，其中：列入</w:t>
      </w:r>
      <w:r>
        <w:rPr>
          <w:rFonts w:ascii="JRGQAN+·ÂËÎ_GB2312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年部门决算编制范围的单位详细情况见下表</w:t>
      </w:r>
      <w:r>
        <w:rPr>
          <w:rFonts w:ascii="JRGQAN+·ÂËÎ_GB2312"/>
          <w:color w:val="000000"/>
          <w:spacing w:val="0"/>
          <w:sz w:val="32"/>
        </w:rPr>
        <w:t xml:space="preserve">: </w:t>
      </w:r>
    </w:p>
    <w:p>
      <w:pPr>
        <w:framePr w:w="1112" w:wrap="auto" w:vAnchor="margin" w:hAnchor="text" w:x="2367" w:y="12484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21"/>
        </w:rPr>
      </w:pPr>
      <w:r>
        <w:rPr>
          <w:rFonts w:ascii="CFSCQM+ËÎÌå" w:hAnsi="CFSCQM+ËÎÌå" w:cs="CFSCQM+ËÎÌå"/>
          <w:color w:val="000000"/>
          <w:spacing w:val="0"/>
          <w:sz w:val="21"/>
        </w:rPr>
        <w:t>单位名称</w:t>
      </w:r>
    </w:p>
    <w:p>
      <w:pPr>
        <w:framePr w:w="1114" w:wrap="auto" w:vAnchor="margin" w:hAnchor="text" w:x="4607" w:y="12484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21"/>
        </w:rPr>
      </w:pPr>
      <w:r>
        <w:rPr>
          <w:rFonts w:ascii="CFSCQM+ËÎÌå" w:hAnsi="CFSCQM+ËÎÌå" w:cs="CFSCQM+ËÎÌå"/>
          <w:color w:val="000000"/>
          <w:spacing w:val="0"/>
          <w:sz w:val="21"/>
        </w:rPr>
        <w:t>经费性质</w:t>
      </w:r>
    </w:p>
    <w:p>
      <w:pPr>
        <w:framePr w:w="1114" w:wrap="auto" w:vAnchor="margin" w:hAnchor="text" w:x="4607" w:y="12484"/>
        <w:widowControl w:val="0"/>
        <w:autoSpaceDE w:val="0"/>
        <w:autoSpaceDN w:val="0"/>
        <w:spacing w:before="0" w:after="0" w:line="502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21"/>
        </w:rPr>
      </w:pPr>
      <w:r>
        <w:rPr>
          <w:rFonts w:ascii="CFSCQM+ËÎÌå" w:hAnsi="CFSCQM+ËÎÌå" w:cs="CFSCQM+ËÎÌå"/>
          <w:color w:val="000000"/>
          <w:spacing w:val="0"/>
          <w:sz w:val="21"/>
        </w:rPr>
        <w:t>财政拨款</w:t>
      </w:r>
    </w:p>
    <w:p>
      <w:pPr>
        <w:framePr w:w="1306" w:wrap="auto" w:vAnchor="margin" w:hAnchor="text" w:x="6645" w:y="12484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21"/>
        </w:rPr>
      </w:pPr>
      <w:r>
        <w:rPr>
          <w:rFonts w:ascii="CFSCQM+ËÎÌå" w:hAnsi="CFSCQM+ËÎÌå" w:cs="CFSCQM+ËÎÌå"/>
          <w:color w:val="000000"/>
          <w:spacing w:val="0"/>
          <w:sz w:val="21"/>
        </w:rPr>
        <w:t>人员编制数</w:t>
      </w:r>
    </w:p>
    <w:p>
      <w:pPr>
        <w:framePr w:w="1112" w:wrap="auto" w:vAnchor="margin" w:hAnchor="text" w:x="8872" w:y="12484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21"/>
        </w:rPr>
      </w:pPr>
      <w:r>
        <w:rPr>
          <w:rFonts w:ascii="CFSCQM+ËÎÌå" w:hAnsi="CFSCQM+ËÎÌå" w:cs="CFSCQM+ËÎÌå"/>
          <w:color w:val="000000"/>
          <w:spacing w:val="0"/>
          <w:sz w:val="21"/>
        </w:rPr>
        <w:t>在职人数</w:t>
      </w:r>
    </w:p>
    <w:p>
      <w:pPr>
        <w:framePr w:w="2290" w:wrap="auto" w:vAnchor="margin" w:hAnchor="text" w:x="1776" w:y="12985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21"/>
        </w:rPr>
      </w:pPr>
      <w:r>
        <w:rPr>
          <w:rFonts w:ascii="CFSCQM+ËÎÌå" w:hAnsi="CFSCQM+ËÎÌå" w:cs="CFSCQM+ËÎÌå"/>
          <w:color w:val="000000"/>
          <w:spacing w:val="0"/>
          <w:sz w:val="21"/>
        </w:rPr>
        <w:t>厦门市思明区人民法院</w:t>
      </w:r>
    </w:p>
    <w:p>
      <w:pPr>
        <w:framePr w:w="617" w:wrap="auto" w:vAnchor="margin" w:hAnchor="text" w:x="6983" w:y="12985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217</w:t>
      </w:r>
    </w:p>
    <w:p>
      <w:pPr>
        <w:framePr w:w="2195" w:wrap="auto" w:vAnchor="margin" w:hAnchor="text" w:x="8332" w:y="12985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372</w:t>
      </w:r>
      <w:r>
        <w:rPr>
          <w:rFonts w:ascii="CFSCQM+ËÎÌå" w:hAnsi="CFSCQM+ËÎÌå" w:cs="CFSCQM+ËÎÌå"/>
          <w:color w:val="000000"/>
          <w:spacing w:val="0"/>
          <w:sz w:val="21"/>
        </w:rPr>
        <w:t>（含非编</w:t>
      </w:r>
      <w:r>
        <w:rPr>
          <w:rFonts w:ascii="NESQRJ+ËÎÌå"/>
          <w:color w:val="000000"/>
          <w:spacing w:val="0"/>
          <w:sz w:val="21"/>
        </w:rPr>
        <w:t>165</w:t>
      </w:r>
      <w:r>
        <w:rPr>
          <w:rFonts w:ascii="CFSCQM+ËÎÌå" w:hAnsi="CFSCQM+ËÎÌå" w:cs="CFSCQM+ËÎÌå"/>
          <w:color w:val="000000"/>
          <w:spacing w:val="0"/>
          <w:sz w:val="21"/>
        </w:rPr>
        <w:t>人）</w:t>
      </w:r>
    </w:p>
    <w:p>
      <w:pPr>
        <w:framePr w:w="3545" w:wrap="auto" w:vAnchor="margin" w:hAnchor="text" w:x="2141" w:y="13776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SRJRIE+ºÚÌå" w:hAnsi="SRJRIE+ºÚÌå" w:cs="SRJRIE+ºÚÌå"/>
          <w:color w:val="000000"/>
          <w:spacing w:val="0"/>
          <w:sz w:val="32"/>
        </w:rPr>
      </w:pPr>
      <w:r>
        <w:rPr>
          <w:rFonts w:ascii="SRJRIE+ºÚÌå" w:hAnsi="SRJRIE+ºÚÌå" w:cs="SRJRIE+ºÚÌå"/>
          <w:color w:val="000000"/>
          <w:spacing w:val="0"/>
          <w:sz w:val="32"/>
        </w:rPr>
        <w:t>三、部门主要工作总结</w:t>
      </w:r>
    </w:p>
    <w:p>
      <w:pPr>
        <w:framePr w:w="9487" w:wrap="auto" w:vAnchor="margin" w:hAnchor="text" w:x="2141" w:y="14376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JRGQAN+·ÂËÎ_GB2312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年，厦门市思明区人民法院主要任务是：认真贯彻党的十</w:t>
      </w:r>
    </w:p>
    <w:p>
      <w:pPr>
        <w:framePr w:w="421" w:wrap="auto" w:vAnchor="margin" w:hAnchor="text" w:x="590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3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pict>
          <v:shape id="_x00000" o:spid="_x0000_s1026" o:spt="75" type="#_x0000_t75" style="position:absolute;left:0pt;margin-left:78.75pt;margin-top:611.3pt;height:67.2pt;width:437.95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0191" w:wrap="auto" w:vAnchor="margin" w:hAnchor="text" w:x="1532" w:y="2172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九大精神，全面落实区委十一届五次全会的决策部署，重点抓好司</w:t>
      </w:r>
    </w:p>
    <w:p>
      <w:pPr>
        <w:framePr w:w="10191" w:wrap="auto" w:vAnchor="margin" w:hAnchor="text" w:x="1532" w:y="2172"/>
        <w:widowControl w:val="0"/>
        <w:autoSpaceDE w:val="0"/>
        <w:autoSpaceDN w:val="0"/>
        <w:spacing w:before="0" w:after="0" w:line="60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法护航、司法改革、司法为民、司法队伍等四项工作，打造品质思</w:t>
      </w:r>
    </w:p>
    <w:p>
      <w:pPr>
        <w:framePr w:w="10191" w:wrap="auto" w:vAnchor="margin" w:hAnchor="text" w:x="1532" w:y="2172"/>
        <w:widowControl w:val="0"/>
        <w:autoSpaceDE w:val="0"/>
        <w:autoSpaceDN w:val="0"/>
        <w:spacing w:before="0" w:after="0" w:line="60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法，建设公信典范法院，为奋力开创新时代幸福思明建设新局面提</w:t>
      </w:r>
    </w:p>
    <w:p>
      <w:pPr>
        <w:framePr w:w="10191" w:wrap="auto" w:vAnchor="margin" w:hAnchor="text" w:x="1532" w:y="2172"/>
        <w:widowControl w:val="0"/>
        <w:autoSpaceDE w:val="0"/>
        <w:autoSpaceDN w:val="0"/>
        <w:spacing w:before="0" w:after="0" w:line="60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供强有力司法保障。围绕上述任务，重点完成了以下工作：</w:t>
      </w:r>
    </w:p>
    <w:p>
      <w:pPr>
        <w:framePr w:w="10191" w:wrap="auto" w:vAnchor="margin" w:hAnchor="text" w:x="1532" w:y="2172"/>
        <w:widowControl w:val="0"/>
        <w:autoSpaceDE w:val="0"/>
        <w:autoSpaceDN w:val="0"/>
        <w:spacing w:before="0" w:after="0" w:line="600" w:lineRule="exact"/>
        <w:ind w:left="456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（一）围绕司法护航新要求，进一步增强保障大局实效。</w:t>
      </w:r>
    </w:p>
    <w:p>
      <w:pPr>
        <w:framePr w:w="10191" w:wrap="auto" w:vAnchor="margin" w:hAnchor="text" w:x="1532" w:y="2172"/>
        <w:widowControl w:val="0"/>
        <w:autoSpaceDE w:val="0"/>
        <w:autoSpaceDN w:val="0"/>
        <w:spacing w:before="0" w:after="0" w:line="601" w:lineRule="exact"/>
        <w:ind w:left="456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（二）围绕司法改革新课题，进一步加大改革创新力度。</w:t>
      </w:r>
    </w:p>
    <w:p>
      <w:pPr>
        <w:framePr w:w="10191" w:wrap="auto" w:vAnchor="margin" w:hAnchor="text" w:x="1532" w:y="2172"/>
        <w:widowControl w:val="0"/>
        <w:autoSpaceDE w:val="0"/>
        <w:autoSpaceDN w:val="0"/>
        <w:spacing w:before="0" w:after="0" w:line="600" w:lineRule="exact"/>
        <w:ind w:left="456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（三）围绕司法为民新期待，进一步提升司法公信水平。</w:t>
      </w:r>
    </w:p>
    <w:p>
      <w:pPr>
        <w:framePr w:w="10191" w:wrap="auto" w:vAnchor="margin" w:hAnchor="text" w:x="1532" w:y="2172"/>
        <w:widowControl w:val="0"/>
        <w:autoSpaceDE w:val="0"/>
        <w:autoSpaceDN w:val="0"/>
        <w:spacing w:before="0" w:after="0" w:line="600" w:lineRule="exact"/>
        <w:ind w:left="456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（四）围绕司法队伍新使命，进一步夯实法院发展根基。</w:t>
      </w:r>
    </w:p>
    <w:p>
      <w:pPr>
        <w:framePr w:w="421" w:wrap="auto" w:vAnchor="margin" w:hAnchor="text" w:x="590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4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5474" w:wrap="auto" w:vAnchor="margin" w:hAnchor="text" w:x="3581" w:y="2137"/>
        <w:widowControl w:val="0"/>
        <w:autoSpaceDE w:val="0"/>
        <w:autoSpaceDN w:val="0"/>
        <w:spacing w:before="0" w:after="0" w:line="360" w:lineRule="exact"/>
        <w:ind w:left="0" w:right="0"/>
        <w:jc w:val="left"/>
        <w:rPr>
          <w:rFonts w:ascii="SRJRIE+ºÚÌå" w:hAnsi="SRJRIE+ºÚÌå" w:cs="SRJRIE+ºÚÌå"/>
          <w:color w:val="000000"/>
          <w:spacing w:val="0"/>
          <w:sz w:val="36"/>
        </w:rPr>
      </w:pPr>
      <w:r>
        <w:rPr>
          <w:rFonts w:ascii="SRJRIE+ºÚÌå" w:hAnsi="SRJRIE+ºÚÌå" w:cs="SRJRIE+ºÚÌå"/>
          <w:color w:val="000000"/>
          <w:spacing w:val="0"/>
          <w:sz w:val="36"/>
        </w:rPr>
        <w:t xml:space="preserve">第二部分 </w:t>
      </w:r>
      <w:r>
        <w:rPr>
          <w:rFonts w:ascii="CBKRWO+ºÚÌå"/>
          <w:color w:val="000000"/>
          <w:spacing w:val="0"/>
          <w:sz w:val="36"/>
        </w:rPr>
        <w:t>2018</w:t>
      </w:r>
      <w:r>
        <w:rPr>
          <w:rFonts w:ascii="SRJRIE+ºÚÌå" w:hAnsi="SRJRIE+ºÚÌå" w:cs="SRJRIE+ºÚÌå"/>
          <w:color w:val="000000"/>
          <w:spacing w:val="0"/>
          <w:sz w:val="36"/>
        </w:rPr>
        <w:t>年度部门决算表</w:t>
      </w:r>
    </w:p>
    <w:p>
      <w:pPr>
        <w:framePr w:w="3556" w:wrap="auto" w:vAnchor="margin" w:hAnchor="text" w:x="1532" w:y="3322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一、收入支出决算总表</w:t>
      </w:r>
    </w:p>
    <w:p>
      <w:pPr>
        <w:framePr w:w="421" w:wrap="auto" w:vAnchor="margin" w:hAnchor="text" w:x="590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5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pict>
          <v:shape id="_x00001" o:spid="_x0000_s1027" o:spt="75" type="#_x0000_t75" style="position:absolute;left:0pt;margin-left:76.55pt;margin-top:197.7pt;height:504.95pt;width:441.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949" w:wrap="auto" w:vAnchor="margin" w:hAnchor="text" w:x="1532" w:y="2122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JRGQAN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二、收入决算表</w:t>
      </w:r>
      <w:r>
        <w:rPr>
          <w:rFonts w:ascii="JRGQAN+·ÂËÎ_GB2312"/>
          <w:color w:val="000000"/>
          <w:spacing w:val="0"/>
          <w:sz w:val="32"/>
        </w:rPr>
        <w:t xml:space="preserve">  </w:t>
      </w:r>
    </w:p>
    <w:p>
      <w:pPr>
        <w:framePr w:w="2630" w:wrap="auto" w:vAnchor="margin" w:hAnchor="text" w:x="1532" w:y="8425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三、支出决算表</w:t>
      </w:r>
    </w:p>
    <w:p>
      <w:pPr>
        <w:framePr w:w="421" w:wrap="auto" w:vAnchor="margin" w:hAnchor="text" w:x="590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6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pict>
          <v:shape id="_x00002" o:spid="_x0000_s1028" o:spt="75" type="#_x0000_t75" style="position:absolute;left:0pt;margin-left:17.15pt;margin-top:132.3pt;height:267.45pt;width:564.25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3" o:spid="_x0000_s1029" o:spt="75" type="#_x0000_t75" style="position:absolute;left:0pt;margin-left:21.4pt;margin-top:448.65pt;height:266.2pt;width:549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927" w:wrap="auto" w:vAnchor="margin" w:hAnchor="text" w:x="1532" w:y="2122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四、财政拨款收入支出决算总表</w:t>
      </w:r>
    </w:p>
    <w:p>
      <w:pPr>
        <w:framePr w:w="5981" w:wrap="auto" w:vAnchor="margin" w:hAnchor="text" w:x="1532" w:y="10317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五、一般公共预算财政拨款支出决算表</w:t>
      </w:r>
    </w:p>
    <w:p>
      <w:pPr>
        <w:framePr w:w="421" w:wrap="auto" w:vAnchor="margin" w:hAnchor="text" w:x="590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7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pict>
          <v:shape id="_x00004" o:spid="_x0000_s1030" o:spt="75" type="#_x0000_t75" style="position:absolute;left:0pt;margin-left:56.4pt;margin-top:140pt;height:355.65pt;width:488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pict>
          <v:shape id="_x00005" o:spid="_x0000_s1031" o:spt="75" type="#_x0000_t75" style="position:absolute;left:0pt;margin-left:61.3pt;margin-top:539.75pt;height:216.2pt;width:472.75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9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101" w:wrap="auto" w:vAnchor="margin" w:hAnchor="text" w:x="1532" w:y="2122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六、一般公共预算财政拨款支出决算明细表</w:t>
      </w:r>
    </w:p>
    <w:p>
      <w:pPr>
        <w:framePr w:w="421" w:wrap="auto" w:vAnchor="margin" w:hAnchor="text" w:x="590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8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pict>
          <v:shape id="_x00006" o:spid="_x0000_s1032" o:spt="75" type="#_x0000_t75" style="position:absolute;left:0pt;margin-left:74.6pt;margin-top:133.8pt;height:293.35pt;width:441.45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0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7040" w:wrap="auto" w:vAnchor="margin" w:hAnchor="text" w:x="1532" w:y="2122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JRGQAN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七、一般公共预算财政拨款基本支出决算表</w:t>
      </w:r>
      <w:r>
        <w:rPr>
          <w:rFonts w:ascii="JRGQAN+·ÂËÎ_GB2312"/>
          <w:color w:val="000000"/>
          <w:spacing w:val="0"/>
          <w:sz w:val="32"/>
        </w:rPr>
        <w:t xml:space="preserve">  </w:t>
      </w:r>
    </w:p>
    <w:p>
      <w:pPr>
        <w:framePr w:w="421" w:wrap="auto" w:vAnchor="margin" w:hAnchor="text" w:x="590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9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pict>
          <v:shape id="_x00007" o:spid="_x0000_s1033" o:spt="75" type="#_x0000_t75" style="position:absolute;left:0pt;margin-left:58.4pt;margin-top:135.05pt;height:543.9pt;width:488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526" w:wrap="auto" w:vAnchor="margin" w:hAnchor="text" w:x="585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10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pict>
          <v:shape id="_x00008" o:spid="_x0000_s1034" o:spt="75" type="#_x0000_t75" style="position:absolute;left:0pt;margin-left:55.45pt;margin-top:109.4pt;height:550.65pt;width:482.8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2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8262" w:wrap="auto" w:vAnchor="margin" w:hAnchor="text" w:x="1532" w:y="2122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八、政府性基金预算财政拨款收入支出决算表（无）</w:t>
      </w:r>
    </w:p>
    <w:p>
      <w:pPr>
        <w:framePr w:w="8262" w:wrap="auto" w:vAnchor="margin" w:hAnchor="text" w:x="1532" w:y="2122"/>
        <w:widowControl w:val="0"/>
        <w:autoSpaceDE w:val="0"/>
        <w:autoSpaceDN w:val="0"/>
        <w:spacing w:before="0" w:after="0" w:line="631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九、部门决算相关信息统计表</w:t>
      </w:r>
    </w:p>
    <w:p>
      <w:pPr>
        <w:framePr w:w="3015" w:wrap="auto" w:vAnchor="margin" w:hAnchor="text" w:x="1532" w:y="9433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十、政府采购情况表</w:t>
      </w:r>
    </w:p>
    <w:p>
      <w:pPr>
        <w:framePr w:w="526" w:wrap="auto" w:vAnchor="margin" w:hAnchor="text" w:x="585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11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pict>
          <v:shape id="_x00009" o:spid="_x0000_s1035" o:spt="75" type="#_x0000_t75" style="position:absolute;left:0pt;margin-left:18.8pt;margin-top:162.95pt;height:301.95pt;width:549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3" o:title=""/>
            <o:lock v:ext="edit" aspectratio="t"/>
          </v:shape>
        </w:pict>
      </w:r>
      <w:r>
        <w:pict>
          <v:shape id="_x000010" o:spid="_x0000_s1036" o:spt="75" type="#_x0000_t75" style="position:absolute;left:0pt;margin-left:15.55pt;margin-top:516.5pt;height:127.25pt;width:564.25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4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663" w:wrap="auto" w:vAnchor="margin" w:hAnchor="text" w:x="3065" w:y="2049"/>
        <w:widowControl w:val="0"/>
        <w:autoSpaceDE w:val="0"/>
        <w:autoSpaceDN w:val="0"/>
        <w:spacing w:before="0" w:after="0" w:line="399" w:lineRule="exact"/>
        <w:ind w:left="0" w:right="0"/>
        <w:jc w:val="left"/>
        <w:rPr>
          <w:rFonts w:ascii="SRJRIE+ºÚÌå" w:hAnsi="SRJRIE+ºÚÌå" w:cs="SRJRIE+ºÚÌå"/>
          <w:color w:val="000000"/>
          <w:spacing w:val="0"/>
          <w:sz w:val="36"/>
        </w:rPr>
      </w:pPr>
      <w:r>
        <w:rPr>
          <w:rFonts w:ascii="SRJRIE+ºÚÌå" w:hAnsi="SRJRIE+ºÚÌå" w:cs="SRJRIE+ºÚÌå"/>
          <w:color w:val="000000"/>
          <w:spacing w:val="0"/>
          <w:sz w:val="36"/>
        </w:rPr>
        <w:t xml:space="preserve">第三部分  </w:t>
      </w:r>
      <w:r>
        <w:rPr>
          <w:rFonts w:ascii="Times New Roman"/>
          <w:color w:val="000000"/>
          <w:spacing w:val="0"/>
          <w:sz w:val="36"/>
        </w:rPr>
        <w:t>2018</w:t>
      </w:r>
      <w:r>
        <w:rPr>
          <w:rFonts w:ascii="SRJRIE+ºÚÌå" w:hAnsi="SRJRIE+ºÚÌå" w:cs="SRJRIE+ºÚÌå"/>
          <w:color w:val="000000"/>
          <w:spacing w:val="0"/>
          <w:sz w:val="36"/>
        </w:rPr>
        <w:t>年度部门决算情况说明</w:t>
      </w:r>
    </w:p>
    <w:p>
      <w:pPr>
        <w:framePr w:w="10188" w:wrap="auto" w:vAnchor="margin" w:hAnchor="text" w:x="1532" w:y="3178"/>
        <w:widowControl w:val="0"/>
        <w:autoSpaceDE w:val="0"/>
        <w:autoSpaceDN w:val="0"/>
        <w:spacing w:before="0" w:after="0" w:line="319" w:lineRule="exact"/>
        <w:ind w:left="612" w:right="0"/>
        <w:jc w:val="left"/>
        <w:rPr>
          <w:rFonts w:ascii="CFSCQM+ËÎÌå" w:hAnsi="CFSCQM+ËÎÌå" w:cs="CFSCQM+ËÎÌå"/>
          <w:color w:val="000000"/>
          <w:spacing w:val="0"/>
          <w:sz w:val="32"/>
        </w:rPr>
      </w:pPr>
      <w:r>
        <w:rPr>
          <w:rFonts w:ascii="CFSCQM+ËÎÌå" w:hAnsi="CFSCQM+ËÎÌå" w:cs="CFSCQM+ËÎÌå"/>
          <w:color w:val="000000"/>
          <w:spacing w:val="0"/>
          <w:sz w:val="32"/>
        </w:rPr>
        <w:t>一、收入支出决算总体情况说明</w:t>
      </w:r>
    </w:p>
    <w:p>
      <w:pPr>
        <w:framePr w:w="10188" w:wrap="auto" w:vAnchor="margin" w:hAnchor="text" w:x="1532" w:y="3178"/>
        <w:widowControl w:val="0"/>
        <w:autoSpaceDE w:val="0"/>
        <w:autoSpaceDN w:val="0"/>
        <w:spacing w:before="0" w:after="0" w:line="547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年思明区人民法院年初结转和结余  </w:t>
      </w:r>
      <w:r>
        <w:rPr>
          <w:rFonts w:ascii="Times New Roman"/>
          <w:color w:val="000000"/>
          <w:spacing w:val="0"/>
          <w:sz w:val="32"/>
        </w:rPr>
        <w:t>1296.15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万元，本年收</w:t>
      </w:r>
    </w:p>
    <w:p>
      <w:pPr>
        <w:framePr w:w="10188" w:wrap="auto" w:vAnchor="margin" w:hAnchor="text" w:x="1532" w:y="3178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入 </w:t>
      </w:r>
      <w:r>
        <w:rPr>
          <w:rFonts w:ascii="Times New Roman"/>
          <w:color w:val="000000"/>
          <w:spacing w:val="0"/>
          <w:sz w:val="32"/>
        </w:rPr>
        <w:t>12655.24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万元，本年支出 </w:t>
      </w:r>
      <w:r>
        <w:rPr>
          <w:rFonts w:ascii="Times New Roman"/>
          <w:color w:val="000000"/>
          <w:spacing w:val="0"/>
          <w:sz w:val="32"/>
        </w:rPr>
        <w:t>13563.11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万元，事业基金弥补收支差额</w:t>
      </w:r>
    </w:p>
    <w:p>
      <w:pPr>
        <w:framePr w:w="10188" w:wrap="auto" w:vAnchor="margin" w:hAnchor="text" w:x="1532" w:y="3178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万元，结余分配  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万元，年末结转和结余 </w:t>
      </w:r>
      <w:r>
        <w:rPr>
          <w:rFonts w:ascii="Times New Roman"/>
          <w:color w:val="000000"/>
          <w:spacing w:val="0"/>
          <w:sz w:val="32"/>
        </w:rPr>
        <w:t>388.28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10188" w:wrap="auto" w:vAnchor="margin" w:hAnchor="text" w:x="1532" w:y="3178"/>
        <w:widowControl w:val="0"/>
        <w:autoSpaceDE w:val="0"/>
        <w:autoSpaceDN w:val="0"/>
        <w:spacing w:before="0" w:after="0" w:line="547" w:lineRule="exact"/>
        <w:ind w:left="598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（一）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年收入</w:t>
      </w:r>
      <w:r>
        <w:rPr>
          <w:rFonts w:ascii="Times New Roman"/>
          <w:color w:val="000000"/>
          <w:spacing w:val="0"/>
          <w:sz w:val="32"/>
        </w:rPr>
        <w:t>12655.24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万元，比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年决算数增加</w:t>
      </w:r>
      <w:r>
        <w:rPr>
          <w:rFonts w:ascii="Times New Roman"/>
          <w:color w:val="000000"/>
          <w:spacing w:val="0"/>
          <w:sz w:val="32"/>
        </w:rPr>
        <w:t>1587.71</w:t>
      </w:r>
    </w:p>
    <w:p>
      <w:pPr>
        <w:framePr w:w="10188" w:wrap="auto" w:vAnchor="margin" w:hAnchor="text" w:x="1532" w:y="3178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万元，增长</w:t>
      </w:r>
      <w:r>
        <w:rPr>
          <w:rFonts w:ascii="Times New Roman"/>
          <w:color w:val="000000"/>
          <w:spacing w:val="0"/>
          <w:sz w:val="32"/>
        </w:rPr>
        <w:t>14.35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％，具体情况如下：</w:t>
      </w:r>
    </w:p>
    <w:p>
      <w:pPr>
        <w:framePr w:w="10188" w:wrap="auto" w:vAnchor="margin" w:hAnchor="text" w:x="1532" w:y="3178"/>
        <w:widowControl w:val="0"/>
        <w:autoSpaceDE w:val="0"/>
        <w:autoSpaceDN w:val="0"/>
        <w:spacing w:before="0" w:after="0" w:line="550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1.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财政拨款收入</w:t>
      </w:r>
      <w:r>
        <w:rPr>
          <w:rFonts w:ascii="Times New Roman"/>
          <w:color w:val="000000"/>
          <w:spacing w:val="0"/>
          <w:sz w:val="32"/>
        </w:rPr>
        <w:t>12655.24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万元，其中政府性基金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10188" w:wrap="auto" w:vAnchor="margin" w:hAnchor="text" w:x="1532" w:y="3178"/>
        <w:widowControl w:val="0"/>
        <w:autoSpaceDE w:val="0"/>
        <w:autoSpaceDN w:val="0"/>
        <w:spacing w:before="0" w:after="0" w:line="547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2.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事业收入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3412" w:wrap="auto" w:vAnchor="margin" w:hAnchor="text" w:x="2141" w:y="7551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3.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经营收入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4070" w:wrap="auto" w:vAnchor="margin" w:hAnchor="text" w:x="2141" w:y="8101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4.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上级补助收入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4774" w:wrap="auto" w:vAnchor="margin" w:hAnchor="text" w:x="2141" w:y="8648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5.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附属单位上缴收入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3412" w:wrap="auto" w:vAnchor="margin" w:hAnchor="text" w:x="2141" w:y="9195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6.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其他收入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10188" w:wrap="auto" w:vAnchor="margin" w:hAnchor="text" w:x="1532" w:y="9745"/>
        <w:widowControl w:val="0"/>
        <w:autoSpaceDE w:val="0"/>
        <w:autoSpaceDN w:val="0"/>
        <w:spacing w:before="0" w:after="0" w:line="353" w:lineRule="exact"/>
        <w:ind w:left="598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（二）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年支出</w:t>
      </w:r>
      <w:r>
        <w:rPr>
          <w:rFonts w:ascii="Times New Roman"/>
          <w:color w:val="000000"/>
          <w:spacing w:val="0"/>
          <w:sz w:val="32"/>
        </w:rPr>
        <w:t>13563.11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万元，比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年决算数增加</w:t>
      </w:r>
      <w:r>
        <w:rPr>
          <w:rFonts w:ascii="Times New Roman"/>
          <w:color w:val="000000"/>
          <w:spacing w:val="0"/>
          <w:sz w:val="32"/>
        </w:rPr>
        <w:t>2910.04</w:t>
      </w:r>
    </w:p>
    <w:p>
      <w:pPr>
        <w:framePr w:w="10188" w:wrap="auto" w:vAnchor="margin" w:hAnchor="text" w:x="1532" w:y="974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万元，增长</w:t>
      </w:r>
      <w:r>
        <w:rPr>
          <w:rFonts w:ascii="Times New Roman"/>
          <w:color w:val="000000"/>
          <w:spacing w:val="0"/>
          <w:sz w:val="32"/>
        </w:rPr>
        <w:t>27.32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％，具体情况如下：</w:t>
      </w:r>
    </w:p>
    <w:p>
      <w:pPr>
        <w:framePr w:w="10188" w:wrap="auto" w:vAnchor="margin" w:hAnchor="text" w:x="1532" w:y="9745"/>
        <w:widowControl w:val="0"/>
        <w:autoSpaceDE w:val="0"/>
        <w:autoSpaceDN w:val="0"/>
        <w:spacing w:before="0" w:after="0" w:line="547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1.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基本支出 </w:t>
      </w:r>
      <w:r>
        <w:rPr>
          <w:rFonts w:ascii="Times New Roman"/>
          <w:color w:val="000000"/>
          <w:spacing w:val="0"/>
          <w:sz w:val="32"/>
        </w:rPr>
        <w:t>9816.39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万元。其中，人员支出 </w:t>
      </w:r>
      <w:r>
        <w:rPr>
          <w:rFonts w:ascii="Times New Roman"/>
          <w:color w:val="000000"/>
          <w:spacing w:val="0"/>
          <w:sz w:val="32"/>
        </w:rPr>
        <w:t>9001.06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万元，公用</w:t>
      </w:r>
    </w:p>
    <w:p>
      <w:pPr>
        <w:framePr w:w="10188" w:wrap="auto" w:vAnchor="margin" w:hAnchor="text" w:x="1532" w:y="9745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支出 </w:t>
      </w:r>
      <w:r>
        <w:rPr>
          <w:rFonts w:ascii="Times New Roman"/>
          <w:color w:val="000000"/>
          <w:spacing w:val="0"/>
          <w:sz w:val="32"/>
        </w:rPr>
        <w:t>815.33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4044" w:wrap="auto" w:vAnchor="margin" w:hAnchor="text" w:x="2129" w:y="11937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2.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项目支出 </w:t>
      </w:r>
      <w:r>
        <w:rPr>
          <w:rFonts w:ascii="Times New Roman"/>
          <w:color w:val="000000"/>
          <w:spacing w:val="0"/>
          <w:sz w:val="32"/>
        </w:rPr>
        <w:t>3746.73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4218" w:wrap="auto" w:vAnchor="margin" w:hAnchor="text" w:x="2129" w:y="12484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3.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上缴上级支出 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3536" w:wrap="auto" w:vAnchor="margin" w:hAnchor="text" w:x="2129" w:y="13034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4.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经营支出 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5270" w:wrap="auto" w:vAnchor="margin" w:hAnchor="text" w:x="2129" w:y="13581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5.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对附属单位补助支出 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6355" w:wrap="auto" w:vAnchor="margin" w:hAnchor="text" w:x="2144" w:y="14138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32"/>
        </w:rPr>
      </w:pPr>
      <w:r>
        <w:rPr>
          <w:rFonts w:ascii="CFSCQM+ËÎÌå" w:hAnsi="CFSCQM+ËÎÌå" w:cs="CFSCQM+ËÎÌå"/>
          <w:color w:val="000000"/>
          <w:spacing w:val="0"/>
          <w:sz w:val="32"/>
        </w:rPr>
        <w:t>二、一般公共预算拨款支出决算情况说明</w:t>
      </w:r>
    </w:p>
    <w:p>
      <w:pPr>
        <w:framePr w:w="9487" w:wrap="auto" w:vAnchor="margin" w:hAnchor="text" w:x="2141" w:y="14678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年一般公共预算拨款支出  </w:t>
      </w:r>
      <w:r>
        <w:rPr>
          <w:rFonts w:ascii="Times New Roman"/>
          <w:color w:val="000000"/>
          <w:spacing w:val="0"/>
          <w:sz w:val="32"/>
        </w:rPr>
        <w:t>13563.11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万元，比上年决算数增</w:t>
      </w:r>
    </w:p>
    <w:p>
      <w:pPr>
        <w:framePr w:w="526" w:wrap="auto" w:vAnchor="margin" w:hAnchor="text" w:x="585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12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0366" w:wrap="auto" w:vAnchor="margin" w:hAnchor="text" w:x="1532" w:y="2071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加</w:t>
      </w:r>
      <w:r>
        <w:rPr>
          <w:rFonts w:ascii="Times New Roman"/>
          <w:color w:val="000000"/>
          <w:spacing w:val="0"/>
          <w:sz w:val="32"/>
        </w:rPr>
        <w:t>2910.04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万元，增长</w:t>
      </w:r>
      <w:r>
        <w:rPr>
          <w:rFonts w:ascii="Times New Roman"/>
          <w:color w:val="000000"/>
          <w:spacing w:val="0"/>
          <w:sz w:val="32"/>
        </w:rPr>
        <w:t>27.32%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，具体情况如下</w:t>
      </w:r>
      <w:r>
        <w:rPr>
          <w:rFonts w:ascii="Times New Roman"/>
          <w:color w:val="000000"/>
          <w:spacing w:val="0"/>
          <w:sz w:val="32"/>
        </w:rPr>
        <w:t>(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按项级科目分类统计</w:t>
      </w:r>
      <w:r>
        <w:rPr>
          <w:rFonts w:ascii="Times New Roman"/>
          <w:color w:val="000000"/>
          <w:spacing w:val="0"/>
          <w:sz w:val="32"/>
        </w:rPr>
        <w:t>)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：</w:t>
      </w:r>
    </w:p>
    <w:p>
      <w:pPr>
        <w:framePr w:w="10366" w:wrap="auto" w:vAnchor="margin" w:hAnchor="text" w:x="1532" w:y="2071"/>
        <w:widowControl w:val="0"/>
        <w:autoSpaceDE w:val="0"/>
        <w:autoSpaceDN w:val="0"/>
        <w:spacing w:before="0" w:after="0" w:line="547" w:lineRule="exact"/>
        <w:ind w:left="598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（一）行政运行 </w:t>
      </w:r>
      <w:r>
        <w:rPr>
          <w:rFonts w:ascii="Times New Roman"/>
          <w:color w:val="000000"/>
          <w:spacing w:val="0"/>
          <w:sz w:val="32"/>
        </w:rPr>
        <w:t>8131.11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万元，较  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年决算数增加  </w:t>
      </w:r>
      <w:r>
        <w:rPr>
          <w:rFonts w:ascii="Times New Roman"/>
          <w:color w:val="000000"/>
          <w:spacing w:val="0"/>
          <w:sz w:val="32"/>
        </w:rPr>
        <w:t xml:space="preserve"> 2620.89</w:t>
      </w:r>
    </w:p>
    <w:p>
      <w:pPr>
        <w:framePr w:w="10366" w:wrap="auto" w:vAnchor="margin" w:hAnchor="text" w:x="1532" w:y="2071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万元，增长 </w:t>
      </w:r>
      <w:r>
        <w:rPr>
          <w:rFonts w:ascii="Times New Roman"/>
          <w:color w:val="000000"/>
          <w:spacing w:val="0"/>
          <w:sz w:val="32"/>
        </w:rPr>
        <w:t>47.56%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。主要原因是：①人员增加，相应工资医社保公</w:t>
      </w:r>
    </w:p>
    <w:p>
      <w:pPr>
        <w:framePr w:w="10366" w:wrap="auto" w:vAnchor="margin" w:hAnchor="text" w:x="1532" w:y="2071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积金等增加，②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年初补发  </w:t>
      </w:r>
      <w:r>
        <w:rPr>
          <w:rFonts w:ascii="Times New Roman"/>
          <w:color w:val="000000"/>
          <w:spacing w:val="0"/>
          <w:sz w:val="32"/>
        </w:rPr>
        <w:t>2016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0"/>
          <w:sz w:val="32"/>
        </w:rPr>
        <w:t>-2017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年部分司改绩效。③原</w:t>
      </w:r>
    </w:p>
    <w:p>
      <w:pPr>
        <w:framePr w:w="10366" w:wrap="auto" w:vAnchor="margin" w:hAnchor="text" w:x="1532" w:y="2071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计入一般行政管理科目的奖金今年全部计入行政运行。</w:t>
      </w:r>
    </w:p>
    <w:p>
      <w:pPr>
        <w:framePr w:w="10366" w:wrap="auto" w:vAnchor="margin" w:hAnchor="text" w:x="1532" w:y="2071"/>
        <w:widowControl w:val="0"/>
        <w:autoSpaceDE w:val="0"/>
        <w:autoSpaceDN w:val="0"/>
        <w:spacing w:before="0" w:after="0" w:line="550" w:lineRule="exact"/>
        <w:ind w:left="598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（二）一般行政管理 </w:t>
      </w:r>
      <w:r>
        <w:rPr>
          <w:rFonts w:ascii="Times New Roman"/>
          <w:color w:val="000000"/>
          <w:spacing w:val="0"/>
          <w:sz w:val="32"/>
        </w:rPr>
        <w:t>853.2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万元，较 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年决算数减少  </w:t>
      </w:r>
      <w:r>
        <w:rPr>
          <w:rFonts w:ascii="Times New Roman"/>
          <w:color w:val="000000"/>
          <w:spacing w:val="0"/>
          <w:sz w:val="32"/>
        </w:rPr>
        <w:t xml:space="preserve"> 1111.55</w:t>
      </w:r>
    </w:p>
    <w:p>
      <w:pPr>
        <w:framePr w:w="10366" w:wrap="auto" w:vAnchor="margin" w:hAnchor="text" w:x="1532" w:y="2071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万元，下降 </w:t>
      </w:r>
      <w:r>
        <w:rPr>
          <w:rFonts w:ascii="Times New Roman"/>
          <w:color w:val="000000"/>
          <w:spacing w:val="0"/>
          <w:sz w:val="32"/>
        </w:rPr>
        <w:t>56.57  %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。主要原因是原计入一般行政管理科目的奖金</w:t>
      </w:r>
    </w:p>
    <w:p>
      <w:pPr>
        <w:framePr w:w="10366" w:wrap="auto" w:vAnchor="margin" w:hAnchor="text" w:x="1532" w:y="2071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今年全部计入行政运行。</w:t>
      </w:r>
    </w:p>
    <w:p>
      <w:pPr>
        <w:framePr w:w="10188" w:wrap="auto" w:vAnchor="margin" w:hAnchor="text" w:x="1532" w:y="6457"/>
        <w:widowControl w:val="0"/>
        <w:autoSpaceDE w:val="0"/>
        <w:autoSpaceDN w:val="0"/>
        <w:spacing w:before="0" w:after="0" w:line="353" w:lineRule="exact"/>
        <w:ind w:left="598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（三）案件审判 </w:t>
      </w:r>
      <w:r>
        <w:rPr>
          <w:rFonts w:ascii="Times New Roman"/>
          <w:color w:val="000000"/>
          <w:spacing w:val="0"/>
          <w:sz w:val="32"/>
        </w:rPr>
        <w:t>1941.09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万元，较   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年决算数增加   </w:t>
      </w:r>
      <w:r>
        <w:rPr>
          <w:rFonts w:ascii="Times New Roman"/>
          <w:color w:val="000000"/>
          <w:spacing w:val="0"/>
          <w:sz w:val="32"/>
        </w:rPr>
        <w:t xml:space="preserve"> 385.57</w:t>
      </w:r>
    </w:p>
    <w:p>
      <w:pPr>
        <w:framePr w:w="10188" w:wrap="auto" w:vAnchor="margin" w:hAnchor="text" w:x="1532" w:y="6457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万元，增长 </w:t>
      </w:r>
      <w:r>
        <w:rPr>
          <w:rFonts w:ascii="Times New Roman"/>
          <w:color w:val="000000"/>
          <w:spacing w:val="0"/>
          <w:sz w:val="32"/>
        </w:rPr>
        <w:t>24.79%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。主要原因是：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年办案业务费增加。</w:t>
      </w:r>
    </w:p>
    <w:p>
      <w:pPr>
        <w:framePr w:w="10188" w:wrap="auto" w:vAnchor="margin" w:hAnchor="text" w:x="1532" w:y="6457"/>
        <w:widowControl w:val="0"/>
        <w:autoSpaceDE w:val="0"/>
        <w:autoSpaceDN w:val="0"/>
        <w:spacing w:before="0" w:after="0" w:line="547" w:lineRule="exact"/>
        <w:ind w:left="598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（四）其他法院支出 </w:t>
      </w:r>
      <w:r>
        <w:rPr>
          <w:rFonts w:ascii="Times New Roman"/>
          <w:color w:val="000000"/>
          <w:spacing w:val="0"/>
          <w:sz w:val="32"/>
        </w:rPr>
        <w:t>1805.63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万元，较 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年决算数增加  </w:t>
      </w:r>
      <w:r>
        <w:rPr>
          <w:rFonts w:ascii="Times New Roman"/>
          <w:color w:val="000000"/>
          <w:spacing w:val="0"/>
          <w:sz w:val="32"/>
        </w:rPr>
        <w:t xml:space="preserve"> 504.3</w:t>
      </w:r>
    </w:p>
    <w:p>
      <w:pPr>
        <w:framePr w:w="10188" w:wrap="auto" w:vAnchor="margin" w:hAnchor="text" w:x="1532" w:y="6457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万元，增长 </w:t>
      </w:r>
      <w:r>
        <w:rPr>
          <w:rFonts w:ascii="Times New Roman"/>
          <w:color w:val="000000"/>
          <w:spacing w:val="0"/>
          <w:sz w:val="32"/>
        </w:rPr>
        <w:t>38.75 %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。主要原因是：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年增加协同创新经费。</w:t>
      </w:r>
    </w:p>
    <w:p>
      <w:pPr>
        <w:framePr w:w="10188" w:wrap="auto" w:vAnchor="margin" w:hAnchor="text" w:x="1532" w:y="6457"/>
        <w:widowControl w:val="0"/>
        <w:autoSpaceDE w:val="0"/>
        <w:autoSpaceDN w:val="0"/>
        <w:spacing w:before="0" w:after="0" w:line="547" w:lineRule="exact"/>
        <w:ind w:left="598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（五）对口管理的行政事业单位离退休 </w:t>
      </w:r>
      <w:r>
        <w:rPr>
          <w:rFonts w:ascii="Times New Roman"/>
          <w:color w:val="000000"/>
          <w:spacing w:val="0"/>
          <w:sz w:val="32"/>
        </w:rPr>
        <w:t>589.71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万元，较   </w:t>
      </w:r>
      <w:r>
        <w:rPr>
          <w:rFonts w:ascii="Times New Roman"/>
          <w:color w:val="000000"/>
          <w:spacing w:val="0"/>
          <w:sz w:val="32"/>
        </w:rPr>
        <w:t xml:space="preserve"> 2017</w:t>
      </w:r>
    </w:p>
    <w:p>
      <w:pPr>
        <w:framePr w:w="10188" w:wrap="auto" w:vAnchor="margin" w:hAnchor="text" w:x="1532" w:y="6457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年决算数增加 </w:t>
      </w:r>
      <w:r>
        <w:rPr>
          <w:rFonts w:ascii="Times New Roman"/>
          <w:color w:val="000000"/>
          <w:spacing w:val="0"/>
          <w:sz w:val="32"/>
        </w:rPr>
        <w:t>460.39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万元，增长 </w:t>
      </w:r>
      <w:r>
        <w:rPr>
          <w:rFonts w:ascii="Times New Roman"/>
          <w:color w:val="000000"/>
          <w:spacing w:val="0"/>
          <w:sz w:val="32"/>
        </w:rPr>
        <w:t>356.04%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。主要原因是基本养老保</w:t>
      </w:r>
    </w:p>
    <w:p>
      <w:pPr>
        <w:framePr w:w="10188" w:wrap="auto" w:vAnchor="margin" w:hAnchor="text" w:x="1532" w:y="6457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险和职业年金今年计入该项科目。</w:t>
      </w:r>
    </w:p>
    <w:p>
      <w:pPr>
        <w:framePr w:w="10188" w:wrap="auto" w:vAnchor="margin" w:hAnchor="text" w:x="1532" w:y="10292"/>
        <w:widowControl w:val="0"/>
        <w:autoSpaceDE w:val="0"/>
        <w:autoSpaceDN w:val="0"/>
        <w:spacing w:before="0" w:after="0" w:line="353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（六）行政事业单位医疗 </w:t>
      </w:r>
      <w:r>
        <w:rPr>
          <w:rFonts w:ascii="Times New Roman"/>
          <w:color w:val="000000"/>
          <w:spacing w:val="0"/>
          <w:sz w:val="32"/>
        </w:rPr>
        <w:t>242.37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万元，较  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年决算数增加</w:t>
      </w:r>
    </w:p>
    <w:p>
      <w:pPr>
        <w:framePr w:w="10188" w:wrap="auto" w:vAnchor="margin" w:hAnchor="text" w:x="1532" w:y="10292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50.43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万元，增长  </w:t>
      </w:r>
      <w:r>
        <w:rPr>
          <w:rFonts w:ascii="Times New Roman"/>
          <w:color w:val="000000"/>
          <w:spacing w:val="0"/>
          <w:sz w:val="32"/>
        </w:rPr>
        <w:t>26.27%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。主要原因是计算基数增加。</w:t>
      </w:r>
    </w:p>
    <w:p>
      <w:pPr>
        <w:framePr w:w="10188" w:wrap="auto" w:vAnchor="margin" w:hAnchor="text" w:x="1532" w:y="10292"/>
        <w:widowControl w:val="0"/>
        <w:autoSpaceDE w:val="0"/>
        <w:autoSpaceDN w:val="0"/>
        <w:spacing w:before="0" w:after="0" w:line="550" w:lineRule="exact"/>
        <w:ind w:left="612" w:right="0"/>
        <w:jc w:val="left"/>
        <w:rPr>
          <w:rFonts w:ascii="CFSCQM+ËÎÌå" w:hAnsi="CFSCQM+ËÎÌå" w:cs="CFSCQM+ËÎÌå"/>
          <w:color w:val="000000"/>
          <w:spacing w:val="0"/>
          <w:sz w:val="32"/>
        </w:rPr>
      </w:pPr>
      <w:r>
        <w:rPr>
          <w:rFonts w:ascii="CFSCQM+ËÎÌå" w:hAnsi="CFSCQM+ËÎÌå" w:cs="CFSCQM+ËÎÌå"/>
          <w:color w:val="000000"/>
          <w:spacing w:val="0"/>
          <w:sz w:val="32"/>
        </w:rPr>
        <w:t>三、政府性基金支出决算情况说明</w:t>
      </w:r>
    </w:p>
    <w:p>
      <w:pPr>
        <w:framePr w:w="9313" w:wrap="auto" w:vAnchor="margin" w:hAnchor="text" w:x="2141" w:y="11937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本单位 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年度没有使用政府性基金预算拨款安排的支出。</w:t>
      </w:r>
    </w:p>
    <w:p>
      <w:pPr>
        <w:framePr w:w="9313" w:wrap="auto" w:vAnchor="margin" w:hAnchor="text" w:x="2141" w:y="11937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32"/>
        </w:rPr>
      </w:pPr>
      <w:r>
        <w:rPr>
          <w:rFonts w:ascii="CFSCQM+ËÎÌå" w:hAnsi="CFSCQM+ËÎÌå" w:cs="CFSCQM+ËÎÌå"/>
          <w:color w:val="000000"/>
          <w:spacing w:val="0"/>
          <w:sz w:val="32"/>
        </w:rPr>
        <w:t>四、一般公共预算财政拨款基本支出决算情况说明</w:t>
      </w:r>
    </w:p>
    <w:p>
      <w:pPr>
        <w:framePr w:w="10365" w:wrap="auto" w:vAnchor="margin" w:hAnchor="text" w:x="1532" w:y="13034"/>
        <w:widowControl w:val="0"/>
        <w:autoSpaceDE w:val="0"/>
        <w:autoSpaceDN w:val="0"/>
        <w:spacing w:before="0" w:after="0" w:line="353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年度一般公共预算财政拨款基本支出  </w:t>
      </w:r>
      <w:r>
        <w:rPr>
          <w:rFonts w:ascii="Times New Roman"/>
          <w:color w:val="000000"/>
          <w:spacing w:val="0"/>
          <w:sz w:val="32"/>
        </w:rPr>
        <w:t>9816.39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万元，其中：</w:t>
      </w:r>
    </w:p>
    <w:p>
      <w:pPr>
        <w:framePr w:w="10365" w:wrap="auto" w:vAnchor="margin" w:hAnchor="text" w:x="1532" w:y="13034"/>
        <w:widowControl w:val="0"/>
        <w:autoSpaceDE w:val="0"/>
        <w:autoSpaceDN w:val="0"/>
        <w:spacing w:before="0" w:after="0" w:line="547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（一）人员经费 </w:t>
      </w:r>
      <w:r>
        <w:rPr>
          <w:rFonts w:ascii="Times New Roman"/>
          <w:color w:val="000000"/>
          <w:spacing w:val="0"/>
          <w:sz w:val="32"/>
        </w:rPr>
        <w:t>9001.06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万元，主要包括：基本工资、津贴补</w:t>
      </w:r>
    </w:p>
    <w:p>
      <w:pPr>
        <w:framePr w:w="10365" w:wrap="auto" w:vAnchor="margin" w:hAnchor="text" w:x="1532" w:y="13034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贴、奖金、伙食补助费、绩效工资、机关事业单位基本养老保险缴</w:t>
      </w:r>
    </w:p>
    <w:p>
      <w:pPr>
        <w:framePr w:w="10191" w:wrap="auto" w:vAnchor="margin" w:hAnchor="text" w:x="1532" w:y="14688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费、职业年金缴费、其他社会保障缴费、其他工资福利支出、离休</w:t>
      </w:r>
    </w:p>
    <w:p>
      <w:pPr>
        <w:framePr w:w="526" w:wrap="auto" w:vAnchor="margin" w:hAnchor="text" w:x="585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13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0191" w:wrap="auto" w:vAnchor="margin" w:hAnchor="text" w:x="1532" w:y="2081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费、退休费、抚恤金、生活补助、医疗费、奖励金、住房公积金、</w:t>
      </w:r>
    </w:p>
    <w:p>
      <w:pPr>
        <w:framePr w:w="10191" w:wrap="auto" w:vAnchor="margin" w:hAnchor="text" w:x="1532" w:y="2081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提租补贴、购房补贴、采暖补贴、物业服务补贴、其他对个人和家</w:t>
      </w:r>
    </w:p>
    <w:p>
      <w:pPr>
        <w:framePr w:w="10191" w:wrap="auto" w:vAnchor="margin" w:hAnchor="text" w:x="1532" w:y="2081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庭的补助支出。</w:t>
      </w:r>
    </w:p>
    <w:p>
      <w:pPr>
        <w:framePr w:w="10192" w:wrap="auto" w:vAnchor="margin" w:hAnchor="text" w:x="1532" w:y="3715"/>
        <w:widowControl w:val="0"/>
        <w:autoSpaceDE w:val="0"/>
        <w:autoSpaceDN w:val="0"/>
        <w:spacing w:before="0" w:after="0" w:line="353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（二）公用经费 </w:t>
      </w:r>
      <w:r>
        <w:rPr>
          <w:rFonts w:ascii="Times New Roman"/>
          <w:color w:val="000000"/>
          <w:spacing w:val="0"/>
          <w:sz w:val="32"/>
        </w:rPr>
        <w:t>815.33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万元，主要包括：办公费、印刷费、咨</w:t>
      </w:r>
    </w:p>
    <w:p>
      <w:pPr>
        <w:framePr w:w="10192" w:wrap="auto" w:vAnchor="margin" w:hAnchor="text" w:x="1532" w:y="371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询费、手续费、水费、电费、邮电费、取暖费、物业管理费、差旅</w:t>
      </w:r>
    </w:p>
    <w:p>
      <w:pPr>
        <w:framePr w:w="10192" w:wrap="auto" w:vAnchor="margin" w:hAnchor="text" w:x="1532" w:y="3715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费、因公出国（境）费用、维修（护）费、租赁费、会议费、培训</w:t>
      </w:r>
    </w:p>
    <w:p>
      <w:pPr>
        <w:framePr w:w="10192" w:wrap="auto" w:vAnchor="margin" w:hAnchor="text" w:x="1532" w:y="371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费、公务接待费、专用材料费、劳务费、委托业务费、工会经费、</w:t>
      </w:r>
    </w:p>
    <w:p>
      <w:pPr>
        <w:framePr w:w="10192" w:wrap="auto" w:vAnchor="margin" w:hAnchor="text" w:x="1532" w:y="371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福利费、公务用车运行维护费、其他交通费用、税金及附加费用、</w:t>
      </w:r>
    </w:p>
    <w:p>
      <w:pPr>
        <w:framePr w:w="10192" w:wrap="auto" w:vAnchor="margin" w:hAnchor="text" w:x="1532" w:y="3715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其他商品和服务支出、办公设备购置、专用设备购置、信息网络及</w:t>
      </w:r>
    </w:p>
    <w:p>
      <w:pPr>
        <w:framePr w:w="10192" w:wrap="auto" w:vAnchor="margin" w:hAnchor="text" w:x="1532" w:y="371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软件购置更新、其他资本性支出。</w:t>
      </w:r>
    </w:p>
    <w:p>
      <w:pPr>
        <w:framePr w:w="10188" w:wrap="auto" w:vAnchor="margin" w:hAnchor="text" w:x="1532" w:y="7561"/>
        <w:widowControl w:val="0"/>
        <w:autoSpaceDE w:val="0"/>
        <w:autoSpaceDN w:val="0"/>
        <w:spacing w:before="0" w:after="0" w:line="319" w:lineRule="exact"/>
        <w:ind w:left="612" w:right="0"/>
        <w:jc w:val="left"/>
        <w:rPr>
          <w:rFonts w:ascii="CFSCQM+ËÎÌå" w:hAnsi="CFSCQM+ËÎÌå" w:cs="CFSCQM+ËÎÌå"/>
          <w:color w:val="000000"/>
          <w:spacing w:val="0"/>
          <w:sz w:val="32"/>
        </w:rPr>
      </w:pPr>
      <w:r>
        <w:rPr>
          <w:rFonts w:ascii="CFSCQM+ËÎÌå" w:hAnsi="CFSCQM+ËÎÌå" w:cs="CFSCQM+ËÎÌå"/>
          <w:color w:val="000000"/>
          <w:spacing w:val="0"/>
          <w:sz w:val="32"/>
        </w:rPr>
        <w:t>五、一般公共预算拨款“三公”经费支出决算情况说明</w:t>
      </w:r>
    </w:p>
    <w:p>
      <w:pPr>
        <w:framePr w:w="10188" w:wrap="auto" w:vAnchor="margin" w:hAnchor="text" w:x="1532" w:y="7561"/>
        <w:widowControl w:val="0"/>
        <w:autoSpaceDE w:val="0"/>
        <w:autoSpaceDN w:val="0"/>
        <w:spacing w:before="0" w:after="0" w:line="550" w:lineRule="exact"/>
        <w:ind w:left="672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年度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三公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经费一般公共预算拨款  </w:t>
      </w:r>
      <w:r>
        <w:rPr>
          <w:rFonts w:ascii="Times New Roman"/>
          <w:color w:val="000000"/>
          <w:spacing w:val="0"/>
          <w:sz w:val="32"/>
        </w:rPr>
        <w:t>49.18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万元，同比下降</w:t>
      </w:r>
    </w:p>
    <w:p>
      <w:pPr>
        <w:framePr w:w="10188" w:wrap="auto" w:vAnchor="margin" w:hAnchor="text" w:x="1532" w:y="7561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7.05%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。具体情况如下：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353" w:lineRule="exact"/>
        <w:ind w:left="581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（一）因公出国（境）费 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年本单位组织出国团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组 </w:t>
      </w:r>
      <w:r>
        <w:rPr>
          <w:rFonts w:ascii="Times New Roman"/>
          <w:color w:val="000000"/>
          <w:spacing w:val="0"/>
          <w:sz w:val="32"/>
        </w:rPr>
        <w:t>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个，参加其他单位出国团组  </w:t>
      </w:r>
      <w:r>
        <w:rPr>
          <w:rFonts w:ascii="Times New Roman"/>
          <w:color w:val="000000"/>
          <w:spacing w:val="0"/>
          <w:sz w:val="32"/>
        </w:rPr>
        <w:t>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个；全年因公出国（境）累计  </w:t>
      </w:r>
      <w:r>
        <w:rPr>
          <w:rFonts w:ascii="Times New Roman"/>
          <w:color w:val="000000"/>
          <w:spacing w:val="0"/>
          <w:sz w:val="32"/>
        </w:rPr>
        <w:t xml:space="preserve"> 0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人次。与 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年相比</w:t>
      </w:r>
      <w:r>
        <w:rPr>
          <w:rFonts w:ascii="Times New Roman"/>
          <w:color w:val="000000"/>
          <w:spacing w:val="0"/>
          <w:sz w:val="32"/>
        </w:rPr>
        <w:t xml:space="preserve">, 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因公出国（境）经费支出下降（增长）</w:t>
      </w:r>
      <w:r>
        <w:rPr>
          <w:rFonts w:ascii="Times New Roman"/>
          <w:color w:val="000000"/>
          <w:spacing w:val="0"/>
          <w:sz w:val="32"/>
        </w:rPr>
        <w:t>0%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。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547" w:lineRule="exact"/>
        <w:ind w:left="607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（二）公务用车购置及运行费 </w:t>
      </w:r>
      <w:r>
        <w:rPr>
          <w:rFonts w:ascii="Times New Roman"/>
          <w:color w:val="000000"/>
          <w:spacing w:val="0"/>
          <w:sz w:val="32"/>
        </w:rPr>
        <w:t>42.89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万元。其中：公务用车购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置费 </w:t>
      </w:r>
      <w:r>
        <w:rPr>
          <w:rFonts w:ascii="Times New Roman"/>
          <w:color w:val="000000"/>
          <w:spacing w:val="0"/>
          <w:sz w:val="32"/>
        </w:rPr>
        <w:t>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年公务用车购置  </w:t>
      </w:r>
      <w:r>
        <w:rPr>
          <w:rFonts w:ascii="Times New Roman"/>
          <w:color w:val="000000"/>
          <w:spacing w:val="0"/>
          <w:sz w:val="32"/>
        </w:rPr>
        <w:t>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辆。公务用车运行费  </w:t>
      </w:r>
      <w:r>
        <w:rPr>
          <w:rFonts w:ascii="Times New Roman"/>
          <w:color w:val="000000"/>
          <w:spacing w:val="0"/>
          <w:sz w:val="32"/>
        </w:rPr>
        <w:t>42.89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元，主要用于公务用车燃油、维修、保险等方面支出，年末公务用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车保有量 </w:t>
      </w:r>
      <w:r>
        <w:rPr>
          <w:rFonts w:ascii="Times New Roman"/>
          <w:color w:val="000000"/>
          <w:spacing w:val="0"/>
          <w:sz w:val="32"/>
        </w:rPr>
        <w:t>22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辆。与 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年相比，公务用车购置费和运行费分别下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降 </w:t>
      </w:r>
      <w:r>
        <w:rPr>
          <w:rFonts w:ascii="Times New Roman"/>
          <w:color w:val="000000"/>
          <w:spacing w:val="0"/>
          <w:sz w:val="32"/>
        </w:rPr>
        <w:t>8.3%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，主要是</w:t>
      </w:r>
      <w:r>
        <w:rPr>
          <w:rFonts w:ascii="Times New Roman"/>
          <w:color w:val="000000"/>
          <w:spacing w:val="0"/>
          <w:sz w:val="32"/>
        </w:rPr>
        <w:t>: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燃料、保险和其他支出较上年减少。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547" w:lineRule="exact"/>
        <w:ind w:left="554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（三）公务接待费 </w:t>
      </w:r>
      <w:r>
        <w:rPr>
          <w:rFonts w:ascii="Times New Roman"/>
          <w:color w:val="000000"/>
          <w:spacing w:val="0"/>
          <w:sz w:val="32"/>
        </w:rPr>
        <w:t>6.29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万元。主要用于外地法院、单位的学习、</w:t>
      </w:r>
    </w:p>
    <w:p>
      <w:pPr>
        <w:framePr w:w="10366" w:wrap="auto" w:vAnchor="margin" w:hAnchor="text" w:x="1532" w:y="919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调研等方面的接待活动方面的接待活动，累计接待 </w:t>
      </w:r>
      <w:r>
        <w:rPr>
          <w:rFonts w:ascii="Times New Roman"/>
          <w:color w:val="000000"/>
          <w:spacing w:val="0"/>
          <w:sz w:val="32"/>
        </w:rPr>
        <w:t>50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批次、接待总</w:t>
      </w:r>
    </w:p>
    <w:p>
      <w:pPr>
        <w:framePr w:w="10189" w:wrap="auto" w:vAnchor="margin" w:hAnchor="text" w:x="1532" w:y="14678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人数 </w:t>
      </w:r>
      <w:r>
        <w:rPr>
          <w:rFonts w:ascii="Times New Roman"/>
          <w:color w:val="000000"/>
          <w:spacing w:val="0"/>
          <w:sz w:val="32"/>
        </w:rPr>
        <w:t>487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。与 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年相比</w:t>
      </w:r>
      <w:r>
        <w:rPr>
          <w:rFonts w:ascii="Times New Roman"/>
          <w:color w:val="000000"/>
          <w:spacing w:val="0"/>
          <w:sz w:val="32"/>
        </w:rPr>
        <w:t xml:space="preserve">, 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公务接待费支出增长  </w:t>
      </w:r>
      <w:r>
        <w:rPr>
          <w:rFonts w:ascii="Times New Roman"/>
          <w:color w:val="000000"/>
          <w:spacing w:val="0"/>
          <w:sz w:val="32"/>
        </w:rPr>
        <w:t>2.44%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，主要是</w:t>
      </w:r>
      <w:r>
        <w:rPr>
          <w:rFonts w:ascii="Times New Roman"/>
          <w:color w:val="000000"/>
          <w:spacing w:val="0"/>
          <w:sz w:val="32"/>
        </w:rPr>
        <w:t>: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公</w:t>
      </w:r>
    </w:p>
    <w:p>
      <w:pPr>
        <w:framePr w:w="526" w:wrap="auto" w:vAnchor="margin" w:hAnchor="text" w:x="585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14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8345" w:wrap="auto" w:vAnchor="margin" w:hAnchor="text" w:x="1532" w:y="2071"/>
        <w:widowControl w:val="0"/>
        <w:autoSpaceDE w:val="0"/>
        <w:autoSpaceDN w:val="0"/>
        <w:spacing w:before="0" w:after="0" w:line="353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务接待标准按新标准执行故比 </w:t>
      </w:r>
      <w:r>
        <w:rPr>
          <w:rFonts w:ascii="Times New Roman"/>
          <w:color w:val="000000"/>
          <w:spacing w:val="0"/>
          <w:sz w:val="32"/>
        </w:rPr>
        <w:t>2017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年增加 </w:t>
      </w:r>
      <w:r>
        <w:rPr>
          <w:rFonts w:ascii="Times New Roman"/>
          <w:color w:val="000000"/>
          <w:spacing w:val="0"/>
          <w:sz w:val="32"/>
        </w:rPr>
        <w:t>0.15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8345" w:wrap="auto" w:vAnchor="margin" w:hAnchor="text" w:x="1532" w:y="2071"/>
        <w:widowControl w:val="0"/>
        <w:autoSpaceDE w:val="0"/>
        <w:autoSpaceDN w:val="0"/>
        <w:spacing w:before="0" w:after="0" w:line="547" w:lineRule="exact"/>
        <w:ind w:left="612" w:right="0"/>
        <w:jc w:val="left"/>
        <w:rPr>
          <w:rFonts w:ascii="CFSCQM+ËÎÌå" w:hAnsi="CFSCQM+ËÎÌå" w:cs="CFSCQM+ËÎÌå"/>
          <w:color w:val="000000"/>
          <w:spacing w:val="0"/>
          <w:sz w:val="32"/>
        </w:rPr>
      </w:pPr>
      <w:r>
        <w:rPr>
          <w:rFonts w:ascii="CFSCQM+ËÎÌå" w:hAnsi="CFSCQM+ËÎÌå" w:cs="CFSCQM+ËÎÌå"/>
          <w:color w:val="000000"/>
          <w:spacing w:val="0"/>
          <w:sz w:val="32"/>
        </w:rPr>
        <w:t>六、预算绩效情况说明</w:t>
      </w:r>
    </w:p>
    <w:p>
      <w:pPr>
        <w:framePr w:w="10191" w:wrap="auto" w:vAnchor="margin" w:hAnchor="text" w:x="1532" w:y="3168"/>
        <w:widowControl w:val="0"/>
        <w:autoSpaceDE w:val="0"/>
        <w:autoSpaceDN w:val="0"/>
        <w:spacing w:before="0" w:after="0" w:line="353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根据预算绩效管理要求，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年申报单位整体支出绩效目</w:t>
      </w:r>
      <w:bookmarkStart w:id="0" w:name="_GoBack"/>
      <w:bookmarkEnd w:id="0"/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标，涉及资金 </w:t>
      </w:r>
      <w:r>
        <w:rPr>
          <w:rFonts w:ascii="Times New Roman"/>
          <w:color w:val="000000"/>
          <w:spacing w:val="0"/>
          <w:sz w:val="32"/>
        </w:rPr>
        <w:t>11370.16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万元；申报 </w:t>
      </w:r>
      <w:r>
        <w:rPr>
          <w:rFonts w:ascii="Times New Roman"/>
          <w:color w:val="000000"/>
          <w:spacing w:val="0"/>
          <w:sz w:val="32"/>
        </w:rPr>
        <w:t>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个重点项目绩效目标，涉及资</w:t>
      </w:r>
    </w:p>
    <w:p>
      <w:pPr>
        <w:framePr w:w="10191" w:wrap="auto" w:vAnchor="margin" w:hAnchor="text" w:x="1532" w:y="3168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金 </w:t>
      </w:r>
      <w:r>
        <w:rPr>
          <w:rFonts w:ascii="Times New Roman"/>
          <w:color w:val="000000"/>
          <w:spacing w:val="0"/>
          <w:sz w:val="32"/>
        </w:rPr>
        <w:t>2897.42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10192" w:wrap="auto" w:vAnchor="margin" w:hAnchor="text" w:x="1532" w:y="4813"/>
        <w:widowControl w:val="0"/>
        <w:autoSpaceDE w:val="0"/>
        <w:autoSpaceDN w:val="0"/>
        <w:spacing w:before="0" w:after="0" w:line="353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年对单位整体支出绩效目标和</w:t>
      </w:r>
      <w:r>
        <w:rPr>
          <w:rFonts w:ascii="Times New Roman"/>
          <w:color w:val="000000"/>
          <w:spacing w:val="0"/>
          <w:sz w:val="32"/>
        </w:rPr>
        <w:t>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个重点项目绩效目标实施</w:t>
      </w:r>
    </w:p>
    <w:p>
      <w:pPr>
        <w:framePr w:w="10192" w:wrap="auto" w:vAnchor="margin" w:hAnchor="text" w:x="1532" w:y="4813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绩效运行监控，其中整体支出绩效目标运行监控资金量 </w:t>
      </w:r>
      <w:r>
        <w:rPr>
          <w:rFonts w:ascii="Times New Roman"/>
          <w:color w:val="000000"/>
          <w:spacing w:val="0"/>
          <w:sz w:val="32"/>
        </w:rPr>
        <w:t>11370.16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</w:t>
      </w:r>
    </w:p>
    <w:p>
      <w:pPr>
        <w:framePr w:w="10192" w:wrap="auto" w:vAnchor="margin" w:hAnchor="text" w:x="1532" w:y="4813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元，重点项目绩效目标运行监控资金量 </w:t>
      </w:r>
      <w:r>
        <w:rPr>
          <w:rFonts w:ascii="Times New Roman"/>
          <w:color w:val="000000"/>
          <w:spacing w:val="0"/>
          <w:sz w:val="32"/>
        </w:rPr>
        <w:t>2897.42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10192" w:wrap="auto" w:vAnchor="margin" w:hAnchor="text" w:x="1532" w:y="4813"/>
        <w:widowControl w:val="0"/>
        <w:autoSpaceDE w:val="0"/>
        <w:autoSpaceDN w:val="0"/>
        <w:spacing w:before="0" w:after="0" w:line="550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年对办案业务费等  </w:t>
      </w:r>
      <w:r>
        <w:rPr>
          <w:rFonts w:ascii="Times New Roman"/>
          <w:color w:val="000000"/>
          <w:spacing w:val="0"/>
          <w:sz w:val="32"/>
        </w:rPr>
        <w:t>4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个项目支出经费开展绩效自评，绩效</w:t>
      </w:r>
    </w:p>
    <w:p>
      <w:pPr>
        <w:framePr w:w="10192" w:wrap="auto" w:vAnchor="margin" w:hAnchor="text" w:x="1532" w:y="4813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自评覆盖资金量 </w:t>
      </w:r>
      <w:r>
        <w:rPr>
          <w:rFonts w:ascii="Times New Roman"/>
          <w:color w:val="000000"/>
          <w:spacing w:val="0"/>
          <w:sz w:val="32"/>
        </w:rPr>
        <w:t>1488.48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3556" w:wrap="auto" w:vAnchor="margin" w:hAnchor="text" w:x="2144" w:y="7561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CFSCQM+ËÎÌå" w:hAnsi="CFSCQM+ËÎÌå" w:cs="CFSCQM+ËÎÌå"/>
          <w:color w:val="000000"/>
          <w:spacing w:val="0"/>
          <w:sz w:val="32"/>
        </w:rPr>
      </w:pPr>
      <w:r>
        <w:rPr>
          <w:rFonts w:ascii="CFSCQM+ËÎÌå" w:hAnsi="CFSCQM+ËÎÌå" w:cs="CFSCQM+ËÎÌå"/>
          <w:color w:val="000000"/>
          <w:spacing w:val="0"/>
          <w:sz w:val="32"/>
        </w:rPr>
        <w:t>七、其他重要事项说明</w:t>
      </w:r>
    </w:p>
    <w:p>
      <w:pPr>
        <w:framePr w:w="3249" w:wrap="auto" w:vAnchor="margin" w:hAnchor="text" w:x="2144" w:y="8111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（一）机关运行经费</w:t>
      </w:r>
    </w:p>
    <w:p>
      <w:pPr>
        <w:framePr w:w="10188" w:wrap="auto" w:vAnchor="margin" w:hAnchor="text" w:x="1532" w:y="8648"/>
        <w:widowControl w:val="0"/>
        <w:autoSpaceDE w:val="0"/>
        <w:autoSpaceDN w:val="0"/>
        <w:spacing w:before="0" w:after="0" w:line="353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年度机关运行经费支出   </w:t>
      </w:r>
      <w:r>
        <w:rPr>
          <w:rFonts w:ascii="Times New Roman"/>
          <w:color w:val="000000"/>
          <w:spacing w:val="0"/>
          <w:sz w:val="32"/>
        </w:rPr>
        <w:t>620.79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万元，比上年决算数增长</w:t>
      </w:r>
    </w:p>
    <w:p>
      <w:pPr>
        <w:framePr w:w="10188" w:wrap="auto" w:vAnchor="margin" w:hAnchor="text" w:x="1532" w:y="8648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Times New Roman"/>
          <w:color w:val="000000"/>
          <w:spacing w:val="0"/>
          <w:sz w:val="32"/>
        </w:rPr>
        <w:t>7.74%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，主要是</w:t>
      </w:r>
      <w:r>
        <w:rPr>
          <w:rFonts w:ascii="Times New Roman"/>
          <w:color w:val="000000"/>
          <w:spacing w:val="0"/>
          <w:sz w:val="32"/>
        </w:rPr>
        <w:t xml:space="preserve">: 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电脑、扫描仪、打印机等办公设备购置增加。</w:t>
      </w:r>
    </w:p>
    <w:p>
      <w:pPr>
        <w:framePr w:w="10188" w:wrap="auto" w:vAnchor="margin" w:hAnchor="text" w:x="1532" w:y="8648"/>
        <w:widowControl w:val="0"/>
        <w:autoSpaceDE w:val="0"/>
        <w:autoSpaceDN w:val="0"/>
        <w:spacing w:before="0" w:after="0" w:line="550" w:lineRule="exact"/>
        <w:ind w:left="612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（二）政府采购情况</w:t>
      </w:r>
    </w:p>
    <w:p>
      <w:pPr>
        <w:framePr w:w="10234" w:wrap="auto" w:vAnchor="margin" w:hAnchor="text" w:x="1532" w:y="10292"/>
        <w:widowControl w:val="0"/>
        <w:autoSpaceDE w:val="0"/>
        <w:autoSpaceDN w:val="0"/>
        <w:spacing w:before="0" w:after="0" w:line="353" w:lineRule="exact"/>
        <w:ind w:left="61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本部门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年度政府采购支出总额</w:t>
      </w:r>
      <w:r>
        <w:rPr>
          <w:rFonts w:ascii="Times New Roman"/>
          <w:color w:val="000000"/>
          <w:spacing w:val="0"/>
          <w:sz w:val="32"/>
        </w:rPr>
        <w:t>1297.15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万元，其中：政府采</w:t>
      </w:r>
    </w:p>
    <w:p>
      <w:pPr>
        <w:framePr w:w="10234" w:wrap="auto" w:vAnchor="margin" w:hAnchor="text" w:x="1532" w:y="10292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购货物支出</w:t>
      </w:r>
      <w:r>
        <w:rPr>
          <w:rFonts w:ascii="Times New Roman"/>
          <w:color w:val="000000"/>
          <w:spacing w:val="0"/>
          <w:sz w:val="32"/>
        </w:rPr>
        <w:t>120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万元、政府采购工程支出</w:t>
      </w:r>
      <w:r>
        <w:rPr>
          <w:rFonts w:ascii="Times New Roman"/>
          <w:color w:val="000000"/>
          <w:spacing w:val="0"/>
          <w:sz w:val="32"/>
        </w:rPr>
        <w:t>0.00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万元、政府采购服务支</w:t>
      </w:r>
    </w:p>
    <w:p>
      <w:pPr>
        <w:framePr w:w="10234" w:wrap="auto" w:vAnchor="margin" w:hAnchor="text" w:x="1532" w:y="10292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出</w:t>
      </w:r>
      <w:r>
        <w:rPr>
          <w:rFonts w:ascii="Times New Roman"/>
          <w:color w:val="000000"/>
          <w:spacing w:val="0"/>
          <w:sz w:val="32"/>
        </w:rPr>
        <w:t>1177.15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万元。</w:t>
      </w:r>
    </w:p>
    <w:p>
      <w:pPr>
        <w:framePr w:w="4594" w:wrap="auto" w:vAnchor="margin" w:hAnchor="text" w:x="2206" w:y="11947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（三）国有资产占用使用情况</w:t>
      </w:r>
    </w:p>
    <w:p>
      <w:pPr>
        <w:framePr w:w="10368" w:wrap="auto" w:vAnchor="margin" w:hAnchor="text" w:x="1532" w:y="12484"/>
        <w:widowControl w:val="0"/>
        <w:autoSpaceDE w:val="0"/>
        <w:autoSpaceDN w:val="0"/>
        <w:spacing w:before="0" w:after="0" w:line="353" w:lineRule="exact"/>
        <w:ind w:left="672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截至 </w:t>
      </w:r>
      <w:r>
        <w:rPr>
          <w:rFonts w:ascii="Times New Roman"/>
          <w:color w:val="000000"/>
          <w:spacing w:val="0"/>
          <w:sz w:val="32"/>
        </w:rPr>
        <w:t>2018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年 </w:t>
      </w:r>
      <w:r>
        <w:rPr>
          <w:rFonts w:ascii="Times New Roman"/>
          <w:color w:val="000000"/>
          <w:spacing w:val="0"/>
          <w:sz w:val="32"/>
        </w:rPr>
        <w:t>12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月  </w:t>
      </w:r>
      <w:r>
        <w:rPr>
          <w:rFonts w:ascii="Times New Roman"/>
          <w:color w:val="000000"/>
          <w:spacing w:val="0"/>
          <w:sz w:val="32"/>
        </w:rPr>
        <w:t>31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日，本部门共有车辆  </w:t>
      </w:r>
      <w:r>
        <w:rPr>
          <w:rFonts w:ascii="Times New Roman"/>
          <w:color w:val="000000"/>
          <w:spacing w:val="0"/>
          <w:sz w:val="32"/>
        </w:rPr>
        <w:t>22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辆，其中：部级</w:t>
      </w:r>
    </w:p>
    <w:p>
      <w:pPr>
        <w:framePr w:w="10368" w:wrap="auto" w:vAnchor="margin" w:hAnchor="text" w:x="1532" w:y="12484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领导干部用车 </w:t>
      </w:r>
      <w:r>
        <w:rPr>
          <w:rFonts w:ascii="Times New Roman"/>
          <w:color w:val="000000"/>
          <w:spacing w:val="0"/>
          <w:sz w:val="32"/>
        </w:rPr>
        <w:t>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辆；一般公务用车 </w:t>
      </w:r>
      <w:r>
        <w:rPr>
          <w:rFonts w:ascii="Times New Roman"/>
          <w:color w:val="000000"/>
          <w:spacing w:val="0"/>
          <w:sz w:val="32"/>
        </w:rPr>
        <w:t>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辆；一般执法执勤用车  </w:t>
      </w:r>
      <w:r>
        <w:rPr>
          <w:rFonts w:ascii="Times New Roman"/>
          <w:color w:val="000000"/>
          <w:spacing w:val="0"/>
          <w:sz w:val="32"/>
        </w:rPr>
        <w:t>22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辆；</w:t>
      </w:r>
    </w:p>
    <w:p>
      <w:pPr>
        <w:framePr w:w="10368" w:wrap="auto" w:vAnchor="margin" w:hAnchor="text" w:x="1532" w:y="12484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特种专业技术用车 </w:t>
      </w:r>
      <w:r>
        <w:rPr>
          <w:rFonts w:ascii="Times New Roman"/>
          <w:color w:val="000000"/>
          <w:spacing w:val="0"/>
          <w:sz w:val="32"/>
        </w:rPr>
        <w:t>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辆；其他用车 </w:t>
      </w:r>
      <w:r>
        <w:rPr>
          <w:rFonts w:ascii="Times New Roman"/>
          <w:color w:val="000000"/>
          <w:spacing w:val="0"/>
          <w:sz w:val="32"/>
        </w:rPr>
        <w:t>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辆；单价  </w:t>
      </w:r>
      <w:r>
        <w:rPr>
          <w:rFonts w:ascii="Times New Roman"/>
          <w:color w:val="000000"/>
          <w:spacing w:val="0"/>
          <w:sz w:val="32"/>
        </w:rPr>
        <w:t>50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万元（含）以上通</w:t>
      </w:r>
    </w:p>
    <w:p>
      <w:pPr>
        <w:framePr w:w="10368" w:wrap="auto" w:vAnchor="margin" w:hAnchor="text" w:x="1532" w:y="12484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用设备 </w:t>
      </w:r>
      <w:r>
        <w:rPr>
          <w:rFonts w:ascii="Times New Roman"/>
          <w:color w:val="000000"/>
          <w:spacing w:val="0"/>
          <w:sz w:val="32"/>
        </w:rPr>
        <w:t>5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台（套），单价 </w:t>
      </w:r>
      <w:r>
        <w:rPr>
          <w:rFonts w:ascii="Times New Roman"/>
          <w:color w:val="000000"/>
          <w:spacing w:val="0"/>
          <w:sz w:val="32"/>
        </w:rPr>
        <w:t>100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 xml:space="preserve">万元（含）以上专用设备  </w:t>
      </w:r>
      <w:r>
        <w:rPr>
          <w:rFonts w:ascii="Times New Roman"/>
          <w:color w:val="000000"/>
          <w:spacing w:val="0"/>
          <w:sz w:val="32"/>
        </w:rPr>
        <w:t>0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台（套）。</w:t>
      </w:r>
    </w:p>
    <w:p>
      <w:pPr>
        <w:framePr w:w="526" w:wrap="auto" w:vAnchor="margin" w:hAnchor="text" w:x="585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15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3487" w:wrap="auto" w:vAnchor="margin" w:hAnchor="text" w:x="4489" w:y="2061"/>
        <w:widowControl w:val="0"/>
        <w:autoSpaceDE w:val="0"/>
        <w:autoSpaceDN w:val="0"/>
        <w:spacing w:before="0" w:after="0" w:line="360" w:lineRule="exact"/>
        <w:ind w:left="0" w:right="0"/>
        <w:jc w:val="left"/>
        <w:rPr>
          <w:rFonts w:ascii="SRJRIE+ºÚÌå" w:hAnsi="SRJRIE+ºÚÌå" w:cs="SRJRIE+ºÚÌå"/>
          <w:color w:val="000000"/>
          <w:spacing w:val="0"/>
          <w:sz w:val="36"/>
        </w:rPr>
      </w:pPr>
      <w:r>
        <w:rPr>
          <w:rFonts w:ascii="SRJRIE+ºÚÌå" w:hAnsi="SRJRIE+ºÚÌå" w:cs="SRJRIE+ºÚÌå"/>
          <w:color w:val="000000"/>
          <w:spacing w:val="0"/>
          <w:sz w:val="36"/>
        </w:rPr>
        <w:t>第四部分名词解释</w:t>
      </w:r>
    </w:p>
    <w:p>
      <w:pPr>
        <w:framePr w:w="7734" w:wrap="auto" w:vAnchor="margin" w:hAnchor="text" w:x="2129" w:y="3178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一、财政拨款收入：指省级财政当年拨付的资金。</w:t>
      </w:r>
    </w:p>
    <w:p>
      <w:pPr>
        <w:framePr w:w="9500" w:wrap="auto" w:vAnchor="margin" w:hAnchor="text" w:x="2129" w:y="3725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二、事业收入：指事业单位开展专业业务活动及辅助活动所取</w:t>
      </w:r>
    </w:p>
    <w:p>
      <w:pPr>
        <w:framePr w:w="2018" w:wrap="auto" w:vAnchor="margin" w:hAnchor="text" w:x="1532" w:y="4272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得的收入。</w:t>
      </w:r>
    </w:p>
    <w:p>
      <w:pPr>
        <w:framePr w:w="10187" w:wrap="auto" w:vAnchor="margin" w:hAnchor="text" w:x="1532" w:y="4823"/>
        <w:widowControl w:val="0"/>
        <w:autoSpaceDE w:val="0"/>
        <w:autoSpaceDN w:val="0"/>
        <w:spacing w:before="0" w:after="0" w:line="319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三、经营收入：指事业单位在专业业务活动及其辅助活动之外</w:t>
      </w:r>
    </w:p>
    <w:p>
      <w:pPr>
        <w:framePr w:w="10187" w:wrap="auto" w:vAnchor="margin" w:hAnchor="text" w:x="1532" w:y="4823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开展非独立核算经营活动取得的收入。</w:t>
      </w:r>
    </w:p>
    <w:p>
      <w:pPr>
        <w:framePr w:w="10406" w:wrap="auto" w:vAnchor="margin" w:hAnchor="text" w:x="1532" w:y="5907"/>
        <w:widowControl w:val="0"/>
        <w:autoSpaceDE w:val="0"/>
        <w:autoSpaceDN w:val="0"/>
        <w:spacing w:before="0" w:after="0" w:line="353" w:lineRule="exact"/>
        <w:ind w:left="583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四、其他收入：指除上述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财政拨款收入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、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事业收入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、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经营收</w:t>
      </w:r>
    </w:p>
    <w:p>
      <w:pPr>
        <w:framePr w:w="10406" w:wrap="auto" w:vAnchor="margin" w:hAnchor="text" w:x="1532" w:y="5907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入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等以外的收入。主要是按规定动用的售房收入、存款利息收入等。</w:t>
      </w:r>
    </w:p>
    <w:p>
      <w:pPr>
        <w:framePr w:w="10406" w:wrap="auto" w:vAnchor="margin" w:hAnchor="text" w:x="1532" w:y="5907"/>
        <w:widowControl w:val="0"/>
        <w:autoSpaceDE w:val="0"/>
        <w:autoSpaceDN w:val="0"/>
        <w:spacing w:before="0" w:after="0" w:line="547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五、用事业基金弥补收支差额：指事业单位在当年的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财政拨款</w:t>
      </w:r>
    </w:p>
    <w:p>
      <w:pPr>
        <w:framePr w:w="10406" w:wrap="auto" w:vAnchor="margin" w:hAnchor="text" w:x="1532" w:y="5907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收入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、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事业收入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、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经营收入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、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其他收入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不足以安排当年支出</w:t>
      </w:r>
    </w:p>
    <w:p>
      <w:pPr>
        <w:framePr w:w="10406" w:wrap="auto" w:vAnchor="margin" w:hAnchor="text" w:x="1532" w:y="5907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的情况下，使用以前年度积累的事业基金（事业单位当年收支相抵</w:t>
      </w:r>
    </w:p>
    <w:p>
      <w:pPr>
        <w:framePr w:w="10406" w:wrap="auto" w:vAnchor="margin" w:hAnchor="text" w:x="1532" w:y="5907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后按国家规定提取、用于弥补以后年度收支差额的基金）弥补本年</w:t>
      </w:r>
    </w:p>
    <w:p>
      <w:pPr>
        <w:framePr w:w="10406" w:wrap="auto" w:vAnchor="margin" w:hAnchor="text" w:x="1532" w:y="5907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度收支缺口的资金。</w:t>
      </w:r>
    </w:p>
    <w:p>
      <w:pPr>
        <w:framePr w:w="10187" w:wrap="auto" w:vAnchor="margin" w:hAnchor="text" w:x="1532" w:y="9755"/>
        <w:widowControl w:val="0"/>
        <w:autoSpaceDE w:val="0"/>
        <w:autoSpaceDN w:val="0"/>
        <w:spacing w:before="0" w:after="0" w:line="319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六、年初结转和结余：指以前年度尚未完成、结转到本年按有</w:t>
      </w:r>
    </w:p>
    <w:p>
      <w:pPr>
        <w:framePr w:w="10187" w:wrap="auto" w:vAnchor="margin" w:hAnchor="text" w:x="1532" w:y="9755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关规定继续使用的资金。</w:t>
      </w:r>
    </w:p>
    <w:p>
      <w:pPr>
        <w:framePr w:w="10191" w:wrap="auto" w:vAnchor="margin" w:hAnchor="text" w:x="1532" w:y="10849"/>
        <w:widowControl w:val="0"/>
        <w:autoSpaceDE w:val="0"/>
        <w:autoSpaceDN w:val="0"/>
        <w:spacing w:before="0" w:after="0" w:line="319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七、结余分配：指事业单位按规定提取的职工福利基金、事业</w:t>
      </w:r>
    </w:p>
    <w:p>
      <w:pPr>
        <w:framePr w:w="10191" w:wrap="auto" w:vAnchor="margin" w:hAnchor="text" w:x="1532" w:y="10849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基金和缴纳的所得税，以及建设单位按规定应交回的基本建设竣工</w:t>
      </w:r>
    </w:p>
    <w:p>
      <w:pPr>
        <w:framePr w:w="10191" w:wrap="auto" w:vAnchor="margin" w:hAnchor="text" w:x="1532" w:y="10849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项目结余资金。</w:t>
      </w:r>
    </w:p>
    <w:p>
      <w:pPr>
        <w:framePr w:w="10191" w:wrap="auto" w:vAnchor="margin" w:hAnchor="text" w:x="1532" w:y="12494"/>
        <w:widowControl w:val="0"/>
        <w:autoSpaceDE w:val="0"/>
        <w:autoSpaceDN w:val="0"/>
        <w:spacing w:before="0" w:after="0" w:line="319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八、年末结转和结余：指本年度或以前年度预算安排、因客观</w:t>
      </w:r>
    </w:p>
    <w:p>
      <w:pPr>
        <w:framePr w:w="10191" w:wrap="auto" w:vAnchor="margin" w:hAnchor="text" w:x="1532" w:y="12494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条件发生变化无法按原计划实施，需延迟到以后年度按有关规定继</w:t>
      </w:r>
    </w:p>
    <w:p>
      <w:pPr>
        <w:framePr w:w="10191" w:wrap="auto" w:vAnchor="margin" w:hAnchor="text" w:x="1532" w:y="12494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续使用的资金。</w:t>
      </w:r>
    </w:p>
    <w:p>
      <w:pPr>
        <w:framePr w:w="9489" w:wrap="auto" w:vAnchor="margin" w:hAnchor="text" w:x="2129" w:y="14138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九、基本支出：指为保障机构正常运转、完成日常工作任务而</w:t>
      </w:r>
    </w:p>
    <w:p>
      <w:pPr>
        <w:framePr w:w="4576" w:wrap="auto" w:vAnchor="margin" w:hAnchor="text" w:x="1532" w:y="14688"/>
        <w:widowControl w:val="0"/>
        <w:autoSpaceDE w:val="0"/>
        <w:autoSpaceDN w:val="0"/>
        <w:spacing w:before="0" w:after="0" w:line="319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发生的人员支出和公用支出。</w:t>
      </w:r>
    </w:p>
    <w:p>
      <w:pPr>
        <w:framePr w:w="526" w:wrap="auto" w:vAnchor="margin" w:hAnchor="text" w:x="585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16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0177" w:wrap="auto" w:vAnchor="margin" w:hAnchor="text" w:x="1532" w:y="2081"/>
        <w:widowControl w:val="0"/>
        <w:autoSpaceDE w:val="0"/>
        <w:autoSpaceDN w:val="0"/>
        <w:spacing w:before="0" w:after="0" w:line="319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十、项目支出：指在基本支出之外为完成特定行政任务和事业</w:t>
      </w:r>
    </w:p>
    <w:p>
      <w:pPr>
        <w:framePr w:w="10177" w:wrap="auto" w:vAnchor="margin" w:hAnchor="text" w:x="1532" w:y="2081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发展目标所发生的支出。</w:t>
      </w:r>
    </w:p>
    <w:p>
      <w:pPr>
        <w:framePr w:w="10177" w:wrap="auto" w:vAnchor="margin" w:hAnchor="text" w:x="1532" w:y="3178"/>
        <w:widowControl w:val="0"/>
        <w:autoSpaceDE w:val="0"/>
        <w:autoSpaceDN w:val="0"/>
        <w:spacing w:before="0" w:after="0" w:line="319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十一、经营支出：指事业单位在专业业务活动及其辅助活动之</w:t>
      </w:r>
    </w:p>
    <w:p>
      <w:pPr>
        <w:framePr w:w="10177" w:wrap="auto" w:vAnchor="margin" w:hAnchor="text" w:x="1532" w:y="3178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外开展非独立核算经营活动发生的支出。</w:t>
      </w:r>
    </w:p>
    <w:p>
      <w:pPr>
        <w:framePr w:w="10191" w:wrap="auto" w:vAnchor="margin" w:hAnchor="text" w:x="1532" w:y="4262"/>
        <w:widowControl w:val="0"/>
        <w:autoSpaceDE w:val="0"/>
        <w:autoSpaceDN w:val="0"/>
        <w:spacing w:before="0" w:after="0" w:line="353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十二、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三公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经费：纳入省级财政预决算管理的</w:t>
      </w:r>
      <w:r>
        <w:rPr>
          <w:rFonts w:ascii="Times New Roman" w:hAnsi="Times New Roman" w:cs="Times New Roman"/>
          <w:color w:val="000000"/>
          <w:spacing w:val="0"/>
          <w:sz w:val="32"/>
        </w:rPr>
        <w:t>“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三公</w:t>
      </w:r>
      <w:r>
        <w:rPr>
          <w:rFonts w:ascii="Times New Roman" w:hAnsi="Times New Roman" w:cs="Times New Roman"/>
          <w:color w:val="000000"/>
          <w:spacing w:val="0"/>
          <w:sz w:val="32"/>
        </w:rPr>
        <w:t>”</w:t>
      </w:r>
      <w:r>
        <w:rPr>
          <w:rFonts w:ascii="OGMDEA+·ÂËÎ_GB2312" w:hAnsi="OGMDEA+·ÂËÎ_GB2312" w:cs="OGMDEA+·ÂËÎ_GB2312"/>
          <w:color w:val="000000"/>
          <w:spacing w:val="0"/>
          <w:sz w:val="32"/>
        </w:rPr>
        <w:t>经费，</w:t>
      </w:r>
    </w:p>
    <w:p>
      <w:pPr>
        <w:framePr w:w="10191" w:wrap="auto" w:vAnchor="margin" w:hAnchor="text" w:x="1532" w:y="4262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是指省级部门用财政拨款安排的因公出国（境）费、公务用车购置</w:t>
      </w:r>
    </w:p>
    <w:p>
      <w:pPr>
        <w:framePr w:w="10191" w:wrap="auto" w:vAnchor="margin" w:hAnchor="text" w:x="1532" w:y="4262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及运行费和公务接待费。其中，因公出国（境）费反映单位公务出</w:t>
      </w:r>
    </w:p>
    <w:p>
      <w:pPr>
        <w:framePr w:w="10191" w:wrap="auto" w:vAnchor="margin" w:hAnchor="text" w:x="1532" w:y="4262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国（境）的国际旅费、国外城市间交通费、住宿费、伙食费、培训</w:t>
      </w:r>
    </w:p>
    <w:p>
      <w:pPr>
        <w:framePr w:w="10191" w:wrap="auto" w:vAnchor="margin" w:hAnchor="text" w:x="1532" w:y="4262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费、公杂费等支出；公务用车购置及运行费反映单位公务用车车辆</w:t>
      </w:r>
    </w:p>
    <w:p>
      <w:pPr>
        <w:framePr w:w="10191" w:wrap="auto" w:vAnchor="margin" w:hAnchor="text" w:x="1532" w:y="4262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购置支出（含车辆购置税）及租用费、燃料费、维修费、过路过桥</w:t>
      </w:r>
    </w:p>
    <w:p>
      <w:pPr>
        <w:framePr w:w="10191" w:wrap="auto" w:vAnchor="margin" w:hAnchor="text" w:x="1532" w:y="4262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费、保险费、安全奖励费用等支出；公务接待费反映单位按规定开</w:t>
      </w:r>
    </w:p>
    <w:p>
      <w:pPr>
        <w:framePr w:w="10191" w:wrap="auto" w:vAnchor="margin" w:hAnchor="text" w:x="1532" w:y="4262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支的各类公务接待（含外宾接待）支出。</w:t>
      </w:r>
    </w:p>
    <w:p>
      <w:pPr>
        <w:framePr w:w="10191" w:wrap="auto" w:vAnchor="margin" w:hAnchor="text" w:x="1532" w:y="8658"/>
        <w:widowControl w:val="0"/>
        <w:autoSpaceDE w:val="0"/>
        <w:autoSpaceDN w:val="0"/>
        <w:spacing w:before="0" w:after="0" w:line="319" w:lineRule="exact"/>
        <w:ind w:left="598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十三、机关运行经费：为保障行政单位（含参照公务员法管理</w:t>
      </w:r>
    </w:p>
    <w:p>
      <w:pPr>
        <w:framePr w:w="10191" w:wrap="auto" w:vAnchor="margin" w:hAnchor="text" w:x="1532" w:y="8658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的事业单位）运行用于购买货物和服务的各项资金，包括办公及印</w:t>
      </w:r>
    </w:p>
    <w:p>
      <w:pPr>
        <w:framePr w:w="10191" w:wrap="auto" w:vAnchor="margin" w:hAnchor="text" w:x="1532" w:y="8658"/>
        <w:widowControl w:val="0"/>
        <w:autoSpaceDE w:val="0"/>
        <w:autoSpaceDN w:val="0"/>
        <w:spacing w:before="0" w:after="0" w:line="550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刷费、邮电费、差旅费、会议费、福利费、日常维修费、专用材料</w:t>
      </w:r>
    </w:p>
    <w:p>
      <w:pPr>
        <w:framePr w:w="10191" w:wrap="auto" w:vAnchor="margin" w:hAnchor="text" w:x="1532" w:y="8658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及一般设备购置费、办公用房水电费、办公用房取暖费、办公用房</w:t>
      </w:r>
    </w:p>
    <w:p>
      <w:pPr>
        <w:framePr w:w="10191" w:wrap="auto" w:vAnchor="margin" w:hAnchor="text" w:x="1532" w:y="8658"/>
        <w:widowControl w:val="0"/>
        <w:autoSpaceDE w:val="0"/>
        <w:autoSpaceDN w:val="0"/>
        <w:spacing w:before="0" w:after="0" w:line="547" w:lineRule="exact"/>
        <w:ind w:left="0" w:right="0"/>
        <w:jc w:val="left"/>
        <w:rPr>
          <w:rFonts w:ascii="OGMDEA+·ÂËÎ_GB2312" w:hAnsi="OGMDEA+·ÂËÎ_GB2312" w:cs="OGMDEA+·ÂËÎ_GB2312"/>
          <w:color w:val="000000"/>
          <w:spacing w:val="0"/>
          <w:sz w:val="32"/>
        </w:rPr>
      </w:pPr>
      <w:r>
        <w:rPr>
          <w:rFonts w:ascii="OGMDEA+·ÂËÎ_GB2312" w:hAnsi="OGMDEA+·ÂËÎ_GB2312" w:cs="OGMDEA+·ÂËÎ_GB2312"/>
          <w:color w:val="000000"/>
          <w:spacing w:val="0"/>
          <w:sz w:val="32"/>
        </w:rPr>
        <w:t>物业管理费、公务用车运行维护费以及其他费用。</w:t>
      </w:r>
    </w:p>
    <w:p>
      <w:pPr>
        <w:framePr w:w="526" w:wrap="auto" w:vAnchor="margin" w:hAnchor="text" w:x="5850" w:y="15239"/>
        <w:widowControl w:val="0"/>
        <w:autoSpaceDE w:val="0"/>
        <w:autoSpaceDN w:val="0"/>
        <w:spacing w:before="0" w:after="0" w:line="211" w:lineRule="exact"/>
        <w:ind w:left="0" w:right="0"/>
        <w:jc w:val="left"/>
        <w:rPr>
          <w:rFonts w:ascii="NESQRJ+ËÎÌå"/>
          <w:color w:val="000000"/>
          <w:spacing w:val="0"/>
          <w:sz w:val="21"/>
        </w:rPr>
      </w:pPr>
      <w:r>
        <w:rPr>
          <w:rFonts w:ascii="NESQRJ+ËÎÌå"/>
          <w:color w:val="000000"/>
          <w:spacing w:val="0"/>
          <w:sz w:val="21"/>
        </w:rPr>
        <w:t>17</w:t>
      </w: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/>
        <w:jc w:val="left"/>
        <w:rPr>
          <w:rFonts w:ascii="Arial"/>
          <w:color w:val="FF0000"/>
          <w:spacing w:val="0"/>
          <w:sz w:val="14"/>
        </w:rPr>
      </w:pPr>
    </w:p>
    <w:sectPr>
      <w:pgSz w:w="11900" w:h="16820"/>
      <w:pgMar w:top="0" w:right="0" w:bottom="0" w:left="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MKKUOJ+·½ÕýÊæÌå">
    <w:altName w:val="汉仪中秀体简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DDGOVK+·½ÕýÊæÌå">
    <w:altName w:val="汉仪中秀体简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CFSCQM+ËÎÌå">
    <w:altName w:val="汉仪中秀体简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OGMDEA+·ÂËÎ_GB2312">
    <w:altName w:val="汉仪中秀体简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NESQRJ+ËÎÌå">
    <w:altName w:val="汉仪中秀体简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SRJRIE+ºÚÌå">
    <w:altName w:val="汉仪中秀体简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JRGQAN+·ÂËÎ_GB2312">
    <w:altName w:val="汉仪中秀体简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CBKRWO+ºÚÌå">
    <w:altName w:val="汉仪中秀体简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embedSystemFonts/>
  <w:documentProtection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  <w:rsid w:val="37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4294967295" w:semiHidden="0" w:name="heading 1"/>
    <w:lsdException w:unhideWhenUsed="0" w:uiPriority="4294967295" w:semiHidden="0" w:name="heading 2"/>
    <w:lsdException w:unhideWhenUsed="0" w:uiPriority="4294967295" w:semiHidden="0" w:name="heading 3"/>
    <w:lsdException w:unhideWhenUsed="0" w:uiPriority="4294967295" w:semiHidden="0" w:name="heading 4"/>
    <w:lsdException w:unhideWhenUsed="0" w:uiPriority="4294967295" w:semiHidden="0" w:name="heading 5"/>
    <w:lsdException w:unhideWhenUsed="0" w:uiPriority="4294967295" w:semiHidden="0" w:name="heading 6"/>
    <w:lsdException w:unhideWhenUsed="0" w:uiPriority="4294967295" w:semiHidden="0" w:name="heading 7"/>
    <w:lsdException w:unhideWhenUsed="0" w:uiPriority="4294967295" w:semiHidden="0" w:name="heading 8"/>
    <w:lsdException w:unhideWhenUsed="0" w:uiPriority="4294967295" w:semiHidden="0" w:name="heading 9"/>
    <w:lsdException w:unhideWhenUsed="0" w:uiPriority="4294967295" w:semiHidden="0" w:name="index 1"/>
    <w:lsdException w:unhideWhenUsed="0" w:uiPriority="4294967295" w:semiHidden="0" w:name="index 2"/>
    <w:lsdException w:unhideWhenUsed="0" w:uiPriority="4294967295" w:semiHidden="0" w:name="index 3"/>
    <w:lsdException w:unhideWhenUsed="0" w:uiPriority="4294967295" w:semiHidden="0" w:name="index 4"/>
    <w:lsdException w:unhideWhenUsed="0" w:uiPriority="4294967295" w:semiHidden="0" w:name="index 5"/>
    <w:lsdException w:unhideWhenUsed="0" w:uiPriority="4294967295" w:semiHidden="0" w:name="index 6"/>
    <w:lsdException w:unhideWhenUsed="0" w:uiPriority="4294967295" w:semiHidden="0" w:name="index 7"/>
    <w:lsdException w:unhideWhenUsed="0" w:uiPriority="4294967295" w:semiHidden="0" w:name="index 8"/>
    <w:lsdException w:unhideWhenUsed="0" w:uiPriority="4294967295" w:semiHidden="0" w:name="index 9"/>
    <w:lsdException w:unhideWhenUsed="0" w:uiPriority="4294967295" w:semiHidden="0" w:name="toc 1"/>
    <w:lsdException w:unhideWhenUsed="0" w:uiPriority="4294967295" w:semiHidden="0" w:name="toc 2"/>
    <w:lsdException w:unhideWhenUsed="0" w:uiPriority="4294967295" w:semiHidden="0" w:name="toc 3"/>
    <w:lsdException w:unhideWhenUsed="0" w:uiPriority="4294967295" w:semiHidden="0" w:name="toc 4"/>
    <w:lsdException w:unhideWhenUsed="0" w:uiPriority="4294967295" w:semiHidden="0" w:name="toc 5"/>
    <w:lsdException w:unhideWhenUsed="0" w:uiPriority="4294967295" w:semiHidden="0" w:name="toc 6"/>
    <w:lsdException w:unhideWhenUsed="0" w:uiPriority="4294967295" w:semiHidden="0" w:name="toc 7"/>
    <w:lsdException w:unhideWhenUsed="0" w:uiPriority="4294967295" w:semiHidden="0" w:name="toc 8"/>
    <w:lsdException w:unhideWhenUsed="0" w:uiPriority="4294967295" w:semiHidden="0" w:name="toc 9"/>
    <w:lsdException w:unhideWhenUsed="0" w:uiPriority="4294967295" w:semiHidden="0" w:name="Normal Indent"/>
    <w:lsdException w:unhideWhenUsed="0" w:uiPriority="4294967295" w:semiHidden="0" w:name="footnote text"/>
    <w:lsdException w:unhideWhenUsed="0" w:uiPriority="4294967295" w:semiHidden="0" w:name="annotation text"/>
    <w:lsdException w:unhideWhenUsed="0" w:uiPriority="4294967295" w:semiHidden="0" w:name="header"/>
    <w:lsdException w:unhideWhenUsed="0" w:uiPriority="4294967295" w:semiHidden="0" w:name="footer"/>
    <w:lsdException w:unhideWhenUsed="0" w:uiPriority="4294967295" w:semiHidden="0" w:name="index heading"/>
    <w:lsdException w:unhideWhenUsed="0" w:uiPriority="4294967295" w:semiHidden="0" w:name="caption"/>
    <w:lsdException w:unhideWhenUsed="0" w:uiPriority="4294967295" w:semiHidden="0" w:name="table of figures"/>
    <w:lsdException w:unhideWhenUsed="0" w:uiPriority="4294967295" w:semiHidden="0" w:name="envelope address"/>
    <w:lsdException w:unhideWhenUsed="0" w:uiPriority="4294967295" w:semiHidden="0" w:name="envelope return"/>
    <w:lsdException w:unhideWhenUsed="0" w:uiPriority="4294967295" w:semiHidden="0" w:name="footnote reference"/>
    <w:lsdException w:unhideWhenUsed="0" w:uiPriority="4294967295" w:semiHidden="0" w:name="annotation reference"/>
    <w:lsdException w:unhideWhenUsed="0" w:uiPriority="4294967295" w:semiHidden="0" w:name="line number"/>
    <w:lsdException w:unhideWhenUsed="0" w:uiPriority="4294967295" w:semiHidden="0" w:name="page number"/>
    <w:lsdException w:unhideWhenUsed="0" w:uiPriority="4294967295" w:semiHidden="0" w:name="endnote reference"/>
    <w:lsdException w:unhideWhenUsed="0" w:uiPriority="4294967295" w:semiHidden="0" w:name="endnote text"/>
    <w:lsdException w:unhideWhenUsed="0" w:uiPriority="4294967295" w:semiHidden="0" w:name="table of authorities"/>
    <w:lsdException w:unhideWhenUsed="0" w:uiPriority="4294967295" w:semiHidden="0" w:name="macro"/>
    <w:lsdException w:unhideWhenUsed="0" w:uiPriority="4294967295" w:semiHidden="0" w:name="toa heading"/>
    <w:lsdException w:unhideWhenUsed="0" w:uiPriority="4294967295" w:semiHidden="0" w:name="List"/>
    <w:lsdException w:unhideWhenUsed="0" w:uiPriority="4294967295" w:semiHidden="0" w:name="List Bullet"/>
    <w:lsdException w:unhideWhenUsed="0" w:uiPriority="4294967295" w:semiHidden="0" w:name="List Number"/>
    <w:lsdException w:unhideWhenUsed="0" w:uiPriority="4294967295" w:semiHidden="0" w:name="List 2"/>
    <w:lsdException w:unhideWhenUsed="0" w:uiPriority="4294967295" w:semiHidden="0" w:name="List 3"/>
    <w:lsdException w:unhideWhenUsed="0" w:uiPriority="4294967295" w:semiHidden="0" w:name="List 4"/>
    <w:lsdException w:unhideWhenUsed="0" w:uiPriority="4294967295" w:semiHidden="0" w:name="List 5"/>
    <w:lsdException w:unhideWhenUsed="0" w:uiPriority="4294967295" w:semiHidden="0" w:name="List Bullet 2"/>
    <w:lsdException w:unhideWhenUsed="0" w:uiPriority="4294967295" w:semiHidden="0" w:name="List Bullet 3"/>
    <w:lsdException w:unhideWhenUsed="0" w:uiPriority="4294967295" w:semiHidden="0" w:name="List Bullet 4"/>
    <w:lsdException w:unhideWhenUsed="0" w:uiPriority="4294967295" w:semiHidden="0" w:name="List Bullet 5"/>
    <w:lsdException w:unhideWhenUsed="0" w:uiPriority="4294967295" w:semiHidden="0" w:name="List Number 2"/>
    <w:lsdException w:unhideWhenUsed="0" w:uiPriority="4294967295" w:semiHidden="0" w:name="List Number 3"/>
    <w:lsdException w:unhideWhenUsed="0" w:uiPriority="4294967295" w:semiHidden="0" w:name="List Number 4"/>
    <w:lsdException w:unhideWhenUsed="0" w:uiPriority="4294967295" w:semiHidden="0" w:name="List Number 5"/>
    <w:lsdException w:unhideWhenUsed="0" w:uiPriority="4294967295" w:semiHidden="0" w:name="Title"/>
    <w:lsdException w:unhideWhenUsed="0" w:uiPriority="4294967295" w:semiHidden="0" w:name="Closing"/>
    <w:lsdException w:unhideWhenUsed="0" w:uiPriority="4294967295" w:semiHidden="0" w:name="Signature"/>
    <w:lsdException w:unhideWhenUsed="0" w:uiPriority="0" w:name="Default Paragraph Font"/>
    <w:lsdException w:unhideWhenUsed="0" w:uiPriority="4294967295" w:semiHidden="0" w:name="Body Text"/>
    <w:lsdException w:unhideWhenUsed="0" w:uiPriority="4294967295" w:semiHidden="0" w:name="Body Text Indent"/>
    <w:lsdException w:unhideWhenUsed="0" w:uiPriority="4294967295" w:semiHidden="0" w:name="List Continue"/>
    <w:lsdException w:unhideWhenUsed="0" w:uiPriority="4294967295" w:semiHidden="0" w:name="List Continue 2"/>
    <w:lsdException w:unhideWhenUsed="0" w:uiPriority="4294967295" w:semiHidden="0" w:name="List Continue 3"/>
    <w:lsdException w:unhideWhenUsed="0" w:uiPriority="4294967295" w:semiHidden="0" w:name="List Continue 4"/>
    <w:lsdException w:unhideWhenUsed="0" w:uiPriority="4294967295" w:semiHidden="0" w:name="List Continue 5"/>
    <w:lsdException w:unhideWhenUsed="0" w:uiPriority="4294967295" w:semiHidden="0" w:name="Message Header"/>
    <w:lsdException w:unhideWhenUsed="0" w:uiPriority="4294967295" w:semiHidden="0" w:name="Subtitle"/>
    <w:lsdException w:unhideWhenUsed="0" w:uiPriority="4294967295" w:semiHidden="0" w:name="Salutation"/>
    <w:lsdException w:unhideWhenUsed="0" w:uiPriority="4294967295" w:semiHidden="0" w:name="Date"/>
    <w:lsdException w:unhideWhenUsed="0" w:uiPriority="4294967295" w:semiHidden="0" w:name="Body Text First Indent"/>
    <w:lsdException w:unhideWhenUsed="0" w:uiPriority="4294967295" w:semiHidden="0" w:name="Body Text First Indent 2"/>
    <w:lsdException w:unhideWhenUsed="0" w:uiPriority="4294967295" w:semiHidden="0" w:name="Note Heading"/>
    <w:lsdException w:unhideWhenUsed="0" w:uiPriority="4294967295" w:semiHidden="0" w:name="Body Text 2"/>
    <w:lsdException w:unhideWhenUsed="0" w:uiPriority="4294967295" w:semiHidden="0" w:name="Body Text 3"/>
    <w:lsdException w:unhideWhenUsed="0" w:uiPriority="4294967295" w:semiHidden="0" w:name="Body Text Indent 2"/>
    <w:lsdException w:unhideWhenUsed="0" w:uiPriority="4294967295" w:semiHidden="0" w:name="Body Text Indent 3"/>
    <w:lsdException w:unhideWhenUsed="0" w:uiPriority="4294967295" w:semiHidden="0" w:name="Block Text"/>
    <w:lsdException w:unhideWhenUsed="0" w:uiPriority="4294967295" w:semiHidden="0" w:name="Hyperlink"/>
    <w:lsdException w:unhideWhenUsed="0" w:uiPriority="4294967295" w:semiHidden="0" w:name="FollowedHyperlink"/>
    <w:lsdException w:unhideWhenUsed="0" w:uiPriority="4294967295" w:semiHidden="0" w:name="Strong"/>
    <w:lsdException w:unhideWhenUsed="0" w:uiPriority="4294967295" w:semiHidden="0" w:name="Emphasis"/>
    <w:lsdException w:unhideWhenUsed="0" w:uiPriority="4294967295" w:semiHidden="0" w:name="Document Map"/>
    <w:lsdException w:unhideWhenUsed="0" w:uiPriority="4294967295" w:semiHidden="0" w:name="Plain Text"/>
    <w:lsdException w:unhideWhenUsed="0" w:uiPriority="4294967295" w:semiHidden="0" w:name="E-mail Signature"/>
    <w:lsdException w:unhideWhenUsed="0" w:uiPriority="4294967295" w:semiHidden="0" w:name="Normal (Web)"/>
    <w:lsdException w:unhideWhenUsed="0" w:uiPriority="4294967295" w:semiHidden="0" w:name="HTML Acronym"/>
    <w:lsdException w:unhideWhenUsed="0" w:uiPriority="4294967295" w:semiHidden="0" w:name="HTML Address"/>
    <w:lsdException w:unhideWhenUsed="0" w:uiPriority="4294967295" w:semiHidden="0" w:name="HTML Cite"/>
    <w:lsdException w:unhideWhenUsed="0" w:uiPriority="4294967295" w:semiHidden="0" w:name="HTML Code"/>
    <w:lsdException w:unhideWhenUsed="0" w:uiPriority="4294967295" w:semiHidden="0" w:name="HTML Definition"/>
    <w:lsdException w:unhideWhenUsed="0" w:uiPriority="4294967295" w:semiHidden="0" w:name="HTML Keyboard"/>
    <w:lsdException w:unhideWhenUsed="0" w:uiPriority="4294967295" w:semiHidden="0" w:name="HTML Preformatted"/>
    <w:lsdException w:unhideWhenUsed="0" w:uiPriority="4294967295" w:semiHidden="0" w:name="HTML Sample"/>
    <w:lsdException w:unhideWhenUsed="0" w:uiPriority="4294967295" w:semiHidden="0" w:name="HTML Typewriter"/>
    <w:lsdException w:unhideWhenUsed="0" w:uiPriority="4294967295" w:semiHidden="0" w:name="HTML Variable"/>
    <w:lsdException w:unhideWhenUsed="0" w:uiPriority="4294967295" w:semiHidden="0" w:name="Normal Table"/>
    <w:lsdException w:unhideWhenUsed="0" w:uiPriority="4294967295" w:semiHidden="0" w:name="annotation subject"/>
    <w:lsdException w:unhideWhenUsed="0" w:uiPriority="0" w:name="No List"/>
    <w:lsdException w:unhideWhenUsed="0" w:uiPriority="4294967295" w:semiHidden="0" w:name="Table Simple 1"/>
    <w:lsdException w:unhideWhenUsed="0" w:uiPriority="4294967295" w:semiHidden="0" w:name="Table Simple 2"/>
    <w:lsdException w:unhideWhenUsed="0" w:uiPriority="4294967295" w:semiHidden="0" w:name="Table Simple 3"/>
    <w:lsdException w:unhideWhenUsed="0" w:uiPriority="4294967295" w:semiHidden="0" w:name="Table Classic 1"/>
    <w:lsdException w:unhideWhenUsed="0" w:uiPriority="4294967295" w:semiHidden="0" w:name="Table Classic 2"/>
    <w:lsdException w:unhideWhenUsed="0" w:uiPriority="4294967295" w:semiHidden="0" w:name="Table Classic 3"/>
    <w:lsdException w:unhideWhenUsed="0" w:uiPriority="4294967295" w:semiHidden="0" w:name="Table Classic 4"/>
    <w:lsdException w:unhideWhenUsed="0" w:uiPriority="4294967295" w:semiHidden="0" w:name="Table Colorful 1"/>
    <w:lsdException w:unhideWhenUsed="0" w:uiPriority="4294967295" w:semiHidden="0" w:name="Table Colorful 2"/>
    <w:lsdException w:unhideWhenUsed="0" w:uiPriority="4294967295" w:semiHidden="0" w:name="Table Colorful 3"/>
    <w:lsdException w:unhideWhenUsed="0" w:uiPriority="4294967295" w:semiHidden="0" w:name="Table Columns 1"/>
    <w:lsdException w:unhideWhenUsed="0" w:uiPriority="4294967295" w:semiHidden="0" w:name="Table Columns 2"/>
    <w:lsdException w:unhideWhenUsed="0" w:uiPriority="4294967295" w:semiHidden="0" w:name="Table Columns 3"/>
    <w:lsdException w:unhideWhenUsed="0" w:uiPriority="4294967295" w:semiHidden="0" w:name="Table Columns 4"/>
    <w:lsdException w:unhideWhenUsed="0" w:uiPriority="4294967295" w:semiHidden="0" w:name="Table Columns 5"/>
    <w:lsdException w:unhideWhenUsed="0" w:uiPriority="4294967295" w:semiHidden="0" w:name="Table Grid 1"/>
    <w:lsdException w:unhideWhenUsed="0" w:uiPriority="4294967295" w:semiHidden="0" w:name="Table Grid 2"/>
    <w:lsdException w:unhideWhenUsed="0" w:uiPriority="4294967295" w:semiHidden="0" w:name="Table Grid 3"/>
    <w:lsdException w:unhideWhenUsed="0" w:uiPriority="4294967295" w:semiHidden="0" w:name="Table Grid 4"/>
    <w:lsdException w:unhideWhenUsed="0" w:uiPriority="4294967295" w:semiHidden="0" w:name="Table Grid 5"/>
    <w:lsdException w:unhideWhenUsed="0" w:uiPriority="4294967295" w:semiHidden="0" w:name="Table Grid 6"/>
    <w:lsdException w:unhideWhenUsed="0" w:uiPriority="4294967295" w:semiHidden="0" w:name="Table Grid 7"/>
    <w:lsdException w:unhideWhenUsed="0" w:uiPriority="4294967295" w:semiHidden="0" w:name="Table Grid 8"/>
    <w:lsdException w:unhideWhenUsed="0" w:uiPriority="4294967295" w:semiHidden="0" w:name="Table List 1"/>
    <w:lsdException w:unhideWhenUsed="0" w:uiPriority="4294967295" w:semiHidden="0" w:name="Table List 2"/>
    <w:lsdException w:unhideWhenUsed="0" w:uiPriority="4294967295" w:semiHidden="0" w:name="Table List 3"/>
    <w:lsdException w:unhideWhenUsed="0" w:uiPriority="4294967295" w:semiHidden="0" w:name="Table List 4"/>
    <w:lsdException w:unhideWhenUsed="0" w:uiPriority="4294967295" w:semiHidden="0" w:name="Table List 5"/>
    <w:lsdException w:unhideWhenUsed="0" w:uiPriority="4294967295" w:semiHidden="0" w:name="Table List 6"/>
    <w:lsdException w:unhideWhenUsed="0" w:uiPriority="4294967295" w:semiHidden="0" w:name="Table List 7"/>
    <w:lsdException w:unhideWhenUsed="0" w:uiPriority="4294967295" w:semiHidden="0" w:name="Table List 8"/>
    <w:lsdException w:unhideWhenUsed="0" w:uiPriority="4294967295" w:semiHidden="0" w:name="Table 3D effects 1"/>
    <w:lsdException w:unhideWhenUsed="0" w:uiPriority="4294967295" w:semiHidden="0" w:name="Table 3D effects 2"/>
    <w:lsdException w:unhideWhenUsed="0" w:uiPriority="4294967295" w:semiHidden="0" w:name="Table 3D effects 3"/>
    <w:lsdException w:unhideWhenUsed="0" w:uiPriority="4294967295" w:semiHidden="0" w:name="Table Contemporary"/>
    <w:lsdException w:unhideWhenUsed="0" w:uiPriority="4294967295" w:semiHidden="0" w:name="Table Elegant"/>
    <w:lsdException w:unhideWhenUsed="0" w:uiPriority="4294967295" w:semiHidden="0" w:name="Table Professional"/>
    <w:lsdException w:unhideWhenUsed="0" w:uiPriority="4294967295" w:semiHidden="0" w:name="Table Subtle 1"/>
    <w:lsdException w:unhideWhenUsed="0" w:uiPriority="4294967295" w:semiHidden="0" w:name="Table Subtle 2"/>
    <w:lsdException w:unhideWhenUsed="0" w:uiPriority="4294967295" w:semiHidden="0" w:name="Table Web 1"/>
    <w:lsdException w:unhideWhenUsed="0" w:uiPriority="4294967295" w:semiHidden="0" w:name="Table Web 2"/>
    <w:lsdException w:unhideWhenUsed="0" w:uiPriority="4294967295" w:semiHidden="0" w:name="Table Web 3"/>
    <w:lsdException w:unhideWhenUsed="0" w:uiPriority="4294967295" w:semiHidden="0" w:name="Balloon Text"/>
    <w:lsdException w:unhideWhenUsed="0" w:uiPriority="4294967295" w:semiHidden="0" w:name="Table Grid"/>
    <w:lsdException w:unhideWhenUsed="0" w:uiPriority="4294967295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"/>
    <w:qFormat/>
    <w:uiPriority w:val="0"/>
    <w:pPr>
      <w:spacing w:before="120" w:after="240"/>
      <w:jc w:val="both"/>
    </w:pPr>
    <w:rPr>
      <w:sz w:val="22"/>
      <w:szCs w:val="22"/>
      <w:lang w:val="ru-RU" w:bidi="ar-SA"/>
    </w:rPr>
  </w:style>
  <w:style w:type="character" w:default="1" w:styleId="3">
    <w:name w:val="Default Paragraph Font"/>
    <w:link w:val="1"/>
    <w:semiHidden/>
    <w:uiPriority w:val="0"/>
  </w:style>
  <w:style w:type="table" w:default="1" w:styleId="2">
    <w:name w:val="Normal Table"/>
    <w:uiPriority w:val="429496729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5">
    <w:name w:val="No List"/>
    <w:semiHidden/>
    <w:uiPriority w:val="0"/>
    <w:rPr>
      <w:sz w:val="21"/>
      <w:szCs w:val="22"/>
    </w:rPr>
  </w:style>
  <w:style w:type="table" w:customStyle="1" w:styleId="4">
    <w:name w:val="Table Normal"/>
    <w:semiHidden/>
    <w:uiPriority w:val="0"/>
    <w:tblPr>
      <w:tblCellMar>
        <w:top w:w="0" w:type="dxa"/>
        <w:left w:w="108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Aspose</Company>
  <Pages>18</Pages>
  <Words>573</Words>
  <Characters>5109</Characters>
  <Lines>225</Lines>
  <Paragraphs>225</Paragraphs>
  <TotalTime>3</TotalTime>
  <ScaleCrop>false</ScaleCrop>
  <LinksUpToDate>false</LinksUpToDate>
  <CharactersWithSpaces>5301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SYSTEM</dc:creator>
  <cp:lastModifiedBy>smadmin</cp:lastModifiedBy>
  <dcterms:modified xsi:type="dcterms:W3CDTF">2024-04-23T15:32:44Z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